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A0CFA" w14:textId="77777777" w:rsidR="00295357" w:rsidRPr="00F1547E" w:rsidRDefault="00295357" w:rsidP="00295357">
      <w:pPr>
        <w:rPr>
          <w:rFonts w:ascii="Times New Roman" w:hAnsi="Times New Roman" w:cs="Times New Roman"/>
          <w:sz w:val="24"/>
          <w:szCs w:val="24"/>
        </w:rPr>
      </w:pPr>
      <w:r w:rsidRPr="00F1547E">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3A513C5A" wp14:editId="59851559">
            <wp:simplePos x="0" y="0"/>
            <wp:positionH relativeFrom="margin">
              <wp:align>center</wp:align>
            </wp:positionH>
            <wp:positionV relativeFrom="paragraph">
              <wp:posOffset>12065</wp:posOffset>
            </wp:positionV>
            <wp:extent cx="114300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anchor>
        </w:drawing>
      </w:r>
    </w:p>
    <w:p w14:paraId="19E09A9B" w14:textId="77777777" w:rsidR="00295357" w:rsidRPr="00F1547E" w:rsidRDefault="00295357" w:rsidP="00295357">
      <w:pPr>
        <w:rPr>
          <w:rFonts w:ascii="Times New Roman" w:hAnsi="Times New Roman" w:cs="Times New Roman"/>
          <w:sz w:val="24"/>
          <w:szCs w:val="24"/>
        </w:rPr>
      </w:pPr>
    </w:p>
    <w:p w14:paraId="5897E03C" w14:textId="77777777" w:rsidR="00295357" w:rsidRPr="00F1547E" w:rsidRDefault="00295357" w:rsidP="00295357">
      <w:pPr>
        <w:jc w:val="center"/>
        <w:rPr>
          <w:rFonts w:ascii="Times New Roman" w:hAnsi="Times New Roman" w:cs="Times New Roman"/>
          <w:sz w:val="24"/>
          <w:szCs w:val="24"/>
        </w:rPr>
      </w:pPr>
    </w:p>
    <w:p w14:paraId="765B1945" w14:textId="77777777" w:rsidR="00295357" w:rsidRPr="00F1547E" w:rsidRDefault="00295357" w:rsidP="00295357">
      <w:pPr>
        <w:spacing w:line="276" w:lineRule="auto"/>
        <w:jc w:val="center"/>
        <w:outlineLvl w:val="0"/>
        <w:rPr>
          <w:rFonts w:ascii="Times New Roman" w:hAnsi="Times New Roman" w:cs="Times New Roman"/>
          <w:b/>
          <w:sz w:val="24"/>
          <w:szCs w:val="24"/>
        </w:rPr>
      </w:pPr>
    </w:p>
    <w:p w14:paraId="3700C239" w14:textId="77777777" w:rsidR="00295357" w:rsidRPr="00F1547E" w:rsidRDefault="00295357" w:rsidP="00295357">
      <w:pPr>
        <w:spacing w:line="276" w:lineRule="auto"/>
        <w:jc w:val="center"/>
        <w:outlineLvl w:val="0"/>
        <w:rPr>
          <w:rFonts w:ascii="Times New Roman" w:hAnsi="Times New Roman" w:cs="Times New Roman"/>
          <w:b/>
          <w:sz w:val="24"/>
          <w:szCs w:val="24"/>
        </w:rPr>
      </w:pPr>
    </w:p>
    <w:p w14:paraId="7EE82208" w14:textId="614DF64E" w:rsidR="00295357" w:rsidRPr="00F1547E" w:rsidRDefault="009753DB" w:rsidP="00295357">
      <w:pPr>
        <w:tabs>
          <w:tab w:val="left" w:pos="2805"/>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EU Key </w:t>
      </w:r>
      <w:r w:rsidR="00295357" w:rsidRPr="00F1547E">
        <w:rPr>
          <w:rFonts w:ascii="Times New Roman" w:hAnsi="Times New Roman" w:cs="Times New Roman"/>
          <w:b/>
          <w:sz w:val="24"/>
          <w:szCs w:val="24"/>
        </w:rPr>
        <w:t>Messages</w:t>
      </w:r>
    </w:p>
    <w:p w14:paraId="4DB8F851" w14:textId="77777777" w:rsidR="0061573E" w:rsidRPr="00F1547E" w:rsidRDefault="0061573E" w:rsidP="00295357">
      <w:pPr>
        <w:tabs>
          <w:tab w:val="left" w:pos="2805"/>
        </w:tabs>
        <w:spacing w:line="276" w:lineRule="auto"/>
        <w:jc w:val="center"/>
        <w:rPr>
          <w:rFonts w:ascii="Times New Roman" w:hAnsi="Times New Roman" w:cs="Times New Roman"/>
          <w:b/>
          <w:sz w:val="24"/>
          <w:szCs w:val="24"/>
        </w:rPr>
      </w:pPr>
    </w:p>
    <w:p w14:paraId="2A6E83BF" w14:textId="76058B2B" w:rsidR="00295357" w:rsidRPr="00F1547E" w:rsidRDefault="00295357" w:rsidP="00295357">
      <w:pPr>
        <w:tabs>
          <w:tab w:val="left" w:pos="2805"/>
        </w:tabs>
        <w:spacing w:line="276" w:lineRule="auto"/>
        <w:jc w:val="center"/>
        <w:rPr>
          <w:rFonts w:ascii="Times New Roman" w:hAnsi="Times New Roman" w:cs="Times New Roman"/>
          <w:b/>
          <w:sz w:val="24"/>
          <w:szCs w:val="24"/>
        </w:rPr>
      </w:pPr>
      <w:r w:rsidRPr="00F1547E">
        <w:rPr>
          <w:rFonts w:ascii="Times New Roman" w:hAnsi="Times New Roman" w:cs="Times New Roman"/>
          <w:b/>
          <w:sz w:val="24"/>
          <w:szCs w:val="24"/>
        </w:rPr>
        <w:t>Working Group on Effective Treaty Implementation</w:t>
      </w:r>
    </w:p>
    <w:p w14:paraId="5AF0FD94" w14:textId="77777777" w:rsidR="00295357" w:rsidRPr="00F1547E" w:rsidRDefault="00295357" w:rsidP="00295357">
      <w:pPr>
        <w:tabs>
          <w:tab w:val="left" w:pos="2805"/>
        </w:tabs>
        <w:spacing w:line="276" w:lineRule="auto"/>
        <w:jc w:val="center"/>
        <w:rPr>
          <w:rFonts w:ascii="Times New Roman" w:hAnsi="Times New Roman" w:cs="Times New Roman"/>
          <w:b/>
          <w:sz w:val="24"/>
          <w:szCs w:val="24"/>
        </w:rPr>
      </w:pPr>
      <w:r w:rsidRPr="00F1547E">
        <w:rPr>
          <w:rFonts w:ascii="Times New Roman" w:hAnsi="Times New Roman" w:cs="Times New Roman"/>
          <w:b/>
          <w:sz w:val="24"/>
          <w:szCs w:val="24"/>
        </w:rPr>
        <w:t>Arms Trade Treaty</w:t>
      </w:r>
    </w:p>
    <w:p w14:paraId="436B8A9D" w14:textId="77777777" w:rsidR="00681179" w:rsidRDefault="00681179" w:rsidP="00295357">
      <w:pPr>
        <w:tabs>
          <w:tab w:val="left" w:pos="2805"/>
        </w:tabs>
        <w:spacing w:line="276" w:lineRule="auto"/>
        <w:jc w:val="center"/>
        <w:rPr>
          <w:rFonts w:ascii="Times New Roman" w:hAnsi="Times New Roman" w:cs="Times New Roman"/>
          <w:b/>
          <w:sz w:val="24"/>
          <w:szCs w:val="24"/>
        </w:rPr>
      </w:pPr>
    </w:p>
    <w:p w14:paraId="6A3CFF23" w14:textId="67B90355" w:rsidR="00295357" w:rsidRPr="00F1547E" w:rsidRDefault="00681179" w:rsidP="00295357">
      <w:pPr>
        <w:tabs>
          <w:tab w:val="left" w:pos="2805"/>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Geneva, </w:t>
      </w:r>
      <w:r w:rsidR="00DA0678">
        <w:rPr>
          <w:rFonts w:ascii="Times New Roman" w:hAnsi="Times New Roman" w:cs="Times New Roman"/>
          <w:b/>
          <w:sz w:val="24"/>
          <w:szCs w:val="24"/>
        </w:rPr>
        <w:t>25-27</w:t>
      </w:r>
      <w:r w:rsidR="008E48FD">
        <w:rPr>
          <w:rFonts w:ascii="Times New Roman" w:hAnsi="Times New Roman" w:cs="Times New Roman"/>
          <w:b/>
          <w:sz w:val="24"/>
          <w:szCs w:val="24"/>
        </w:rPr>
        <w:t xml:space="preserve"> February </w:t>
      </w:r>
      <w:r w:rsidR="00CD21F3">
        <w:rPr>
          <w:rFonts w:ascii="Times New Roman" w:hAnsi="Times New Roman" w:cs="Times New Roman"/>
          <w:b/>
          <w:sz w:val="24"/>
          <w:szCs w:val="24"/>
        </w:rPr>
        <w:t>202</w:t>
      </w:r>
      <w:r w:rsidR="00DA0678">
        <w:rPr>
          <w:rFonts w:ascii="Times New Roman" w:hAnsi="Times New Roman" w:cs="Times New Roman"/>
          <w:b/>
          <w:sz w:val="24"/>
          <w:szCs w:val="24"/>
        </w:rPr>
        <w:t>5</w:t>
      </w:r>
    </w:p>
    <w:p w14:paraId="10F4B091" w14:textId="77777777" w:rsidR="008B0DA7" w:rsidRDefault="008B0DA7" w:rsidP="008D4A9A">
      <w:pPr>
        <w:rPr>
          <w:rFonts w:ascii="Times New Roman" w:hAnsi="Times New Roman" w:cs="Times New Roman"/>
          <w:b/>
          <w:bCs/>
          <w:sz w:val="24"/>
          <w:szCs w:val="24"/>
        </w:rPr>
      </w:pPr>
    </w:p>
    <w:p w14:paraId="00B9A98D" w14:textId="6BBA897F" w:rsidR="000B6CD1" w:rsidRPr="000B6CD1" w:rsidRDefault="008B0DA7" w:rsidP="00E33AF2">
      <w:pPr>
        <w:jc w:val="right"/>
        <w:rPr>
          <w:rFonts w:ascii="Times New Roman" w:hAnsi="Times New Roman" w:cs="Times New Roman"/>
          <w:i/>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506EF9">
        <w:rPr>
          <w:rFonts w:ascii="Times New Roman" w:hAnsi="Times New Roman" w:cs="Times New Roman"/>
          <w:b/>
          <w:bCs/>
          <w:sz w:val="24"/>
          <w:szCs w:val="24"/>
        </w:rPr>
        <w:tab/>
      </w:r>
      <w:r w:rsidR="00506EF9">
        <w:rPr>
          <w:rFonts w:ascii="Times New Roman" w:hAnsi="Times New Roman" w:cs="Times New Roman"/>
          <w:b/>
          <w:bCs/>
          <w:sz w:val="24"/>
          <w:szCs w:val="24"/>
        </w:rPr>
        <w:tab/>
      </w:r>
      <w:r w:rsidR="00506EF9">
        <w:rPr>
          <w:rFonts w:ascii="Times New Roman" w:hAnsi="Times New Roman" w:cs="Times New Roman"/>
          <w:b/>
          <w:bCs/>
          <w:sz w:val="24"/>
          <w:szCs w:val="24"/>
        </w:rPr>
        <w:tab/>
      </w:r>
      <w:r w:rsidR="00506EF9">
        <w:rPr>
          <w:rFonts w:ascii="Times New Roman" w:hAnsi="Times New Roman" w:cs="Times New Roman"/>
          <w:b/>
          <w:bCs/>
          <w:sz w:val="24"/>
          <w:szCs w:val="24"/>
        </w:rPr>
        <w:tab/>
      </w:r>
      <w:r w:rsidR="00506EF9">
        <w:rPr>
          <w:rFonts w:ascii="Times New Roman" w:hAnsi="Times New Roman" w:cs="Times New Roman"/>
          <w:b/>
          <w:bCs/>
          <w:sz w:val="24"/>
          <w:szCs w:val="24"/>
        </w:rPr>
        <w:tab/>
      </w:r>
      <w:r w:rsidR="00506EF9">
        <w:rPr>
          <w:rFonts w:ascii="Times New Roman" w:hAnsi="Times New Roman" w:cs="Times New Roman"/>
          <w:b/>
          <w:bCs/>
          <w:sz w:val="24"/>
          <w:szCs w:val="24"/>
        </w:rPr>
        <w:tab/>
      </w:r>
      <w:r w:rsidR="00506EF9">
        <w:rPr>
          <w:rFonts w:ascii="Times New Roman" w:hAnsi="Times New Roman" w:cs="Times New Roman"/>
          <w:b/>
          <w:bCs/>
          <w:sz w:val="24"/>
          <w:szCs w:val="24"/>
        </w:rPr>
        <w:tab/>
      </w:r>
      <w:r w:rsidR="00506EF9">
        <w:rPr>
          <w:rFonts w:ascii="Times New Roman" w:hAnsi="Times New Roman" w:cs="Times New Roman"/>
          <w:b/>
          <w:bCs/>
          <w:sz w:val="24"/>
          <w:szCs w:val="24"/>
        </w:rPr>
        <w:tab/>
      </w:r>
      <w:r w:rsidRPr="00506EF9">
        <w:rPr>
          <w:rFonts w:ascii="Times New Roman" w:hAnsi="Times New Roman" w:cs="Times New Roman"/>
          <w:bCs/>
          <w:i/>
          <w:sz w:val="24"/>
          <w:szCs w:val="24"/>
        </w:rPr>
        <w:tab/>
      </w:r>
      <w:r w:rsidR="000B6CD1">
        <w:rPr>
          <w:rFonts w:ascii="Times New Roman" w:hAnsi="Times New Roman" w:cs="Times New Roman"/>
          <w:bCs/>
          <w:i/>
          <w:sz w:val="24"/>
          <w:szCs w:val="24"/>
        </w:rPr>
        <w:tab/>
      </w:r>
      <w:r w:rsidR="000B6CD1">
        <w:rPr>
          <w:rFonts w:ascii="Times New Roman" w:hAnsi="Times New Roman" w:cs="Times New Roman"/>
          <w:bCs/>
          <w:i/>
          <w:sz w:val="24"/>
          <w:szCs w:val="24"/>
        </w:rPr>
        <w:tab/>
      </w:r>
      <w:r w:rsidR="000B6CD1">
        <w:rPr>
          <w:rFonts w:ascii="Times New Roman" w:hAnsi="Times New Roman" w:cs="Times New Roman"/>
          <w:bCs/>
          <w:i/>
          <w:sz w:val="24"/>
          <w:szCs w:val="24"/>
        </w:rPr>
        <w:tab/>
      </w:r>
      <w:r w:rsidR="000B6CD1">
        <w:rPr>
          <w:rFonts w:ascii="Times New Roman" w:hAnsi="Times New Roman" w:cs="Times New Roman"/>
          <w:bCs/>
          <w:i/>
          <w:sz w:val="24"/>
          <w:szCs w:val="24"/>
        </w:rPr>
        <w:tab/>
      </w:r>
      <w:r w:rsidRPr="00506EF9">
        <w:rPr>
          <w:rFonts w:ascii="Times New Roman" w:hAnsi="Times New Roman" w:cs="Times New Roman"/>
          <w:bCs/>
          <w:i/>
          <w:sz w:val="24"/>
          <w:szCs w:val="24"/>
        </w:rPr>
        <w:tab/>
      </w:r>
      <w:r w:rsidRPr="00506EF9">
        <w:rPr>
          <w:rFonts w:ascii="Times New Roman" w:hAnsi="Times New Roman" w:cs="Times New Roman"/>
          <w:bCs/>
          <w:i/>
          <w:sz w:val="24"/>
          <w:szCs w:val="24"/>
        </w:rPr>
        <w:tab/>
      </w:r>
      <w:r w:rsidRPr="00506EF9">
        <w:rPr>
          <w:rFonts w:ascii="Times New Roman" w:hAnsi="Times New Roman" w:cs="Times New Roman"/>
          <w:bCs/>
          <w:i/>
          <w:sz w:val="24"/>
          <w:szCs w:val="24"/>
        </w:rPr>
        <w:tab/>
      </w:r>
    </w:p>
    <w:p w14:paraId="76D658F5" w14:textId="7E077FAA" w:rsidR="00497CC8" w:rsidRPr="00D36B66" w:rsidRDefault="00497CC8" w:rsidP="00497CC8">
      <w:pPr>
        <w:spacing w:after="120" w:line="360" w:lineRule="auto"/>
        <w:jc w:val="both"/>
        <w:rPr>
          <w:rFonts w:ascii="Times New Roman" w:hAnsi="Times New Roman" w:cs="Times New Roman"/>
          <w:sz w:val="24"/>
          <w:szCs w:val="24"/>
        </w:rPr>
      </w:pPr>
      <w:r w:rsidRPr="00D36B66">
        <w:rPr>
          <w:rFonts w:ascii="Times New Roman" w:hAnsi="Times New Roman" w:cs="Times New Roman"/>
          <w:sz w:val="24"/>
          <w:szCs w:val="24"/>
        </w:rPr>
        <w:t>Mr. Chair,</w:t>
      </w:r>
    </w:p>
    <w:p w14:paraId="6050A21C" w14:textId="03F2C579" w:rsidR="002604B3" w:rsidRDefault="002604B3" w:rsidP="33BB2C08">
      <w:pPr>
        <w:spacing w:after="120" w:line="276" w:lineRule="auto"/>
        <w:jc w:val="both"/>
        <w:rPr>
          <w:rStyle w:val="Strong"/>
          <w:rFonts w:ascii="Times New Roman" w:hAnsi="Times New Roman" w:cs="Times New Roman"/>
          <w:b w:val="0"/>
          <w:sz w:val="24"/>
          <w:szCs w:val="24"/>
        </w:rPr>
      </w:pPr>
      <w:r>
        <w:rPr>
          <w:rStyle w:val="Strong"/>
          <w:rFonts w:ascii="Times New Roman" w:hAnsi="Times New Roman" w:cs="Times New Roman"/>
          <w:b w:val="0"/>
          <w:sz w:val="24"/>
          <w:szCs w:val="24"/>
        </w:rPr>
        <w:t>I have the honour to speak on behalf of the European Union and its Member States.</w:t>
      </w:r>
    </w:p>
    <w:p w14:paraId="0D1DCBA6" w14:textId="22135B1C" w:rsidR="00003122" w:rsidRDefault="00003122" w:rsidP="00003122">
      <w:pPr>
        <w:spacing w:after="120" w:line="259" w:lineRule="auto"/>
        <w:jc w:val="both"/>
        <w:rPr>
          <w:rFonts w:ascii="Times New Roman" w:hAnsi="Times New Roman" w:cs="Times New Roman"/>
          <w:color w:val="000000"/>
          <w:sz w:val="24"/>
          <w:szCs w:val="24"/>
        </w:rPr>
      </w:pPr>
      <w:r w:rsidRPr="006446E4">
        <w:rPr>
          <w:rFonts w:ascii="Times New Roman" w:hAnsi="Times New Roman" w:cs="Times New Roman"/>
          <w:color w:val="000000"/>
          <w:sz w:val="24"/>
          <w:szCs w:val="24"/>
        </w:rPr>
        <w:t>The candidate countries North Macedonia, Montenegro,</w:t>
      </w:r>
      <w:r w:rsidR="005E4F37">
        <w:rPr>
          <w:rFonts w:ascii="Times New Roman" w:hAnsi="Times New Roman" w:cs="Times New Roman"/>
          <w:color w:val="000000"/>
          <w:sz w:val="24"/>
          <w:szCs w:val="24"/>
        </w:rPr>
        <w:t xml:space="preserve"> Serbia,</w:t>
      </w:r>
      <w:r w:rsidRPr="006446E4">
        <w:rPr>
          <w:rFonts w:ascii="Times New Roman" w:hAnsi="Times New Roman" w:cs="Times New Roman"/>
          <w:color w:val="000000"/>
          <w:sz w:val="24"/>
          <w:szCs w:val="24"/>
        </w:rPr>
        <w:t xml:space="preserve"> Albania, Republic of Mold</w:t>
      </w:r>
      <w:r>
        <w:rPr>
          <w:rFonts w:ascii="Times New Roman" w:hAnsi="Times New Roman" w:cs="Times New Roman"/>
          <w:color w:val="000000"/>
          <w:sz w:val="24"/>
          <w:szCs w:val="24"/>
        </w:rPr>
        <w:t>ova, Bosnia and Herzegovina</w:t>
      </w:r>
      <w:r>
        <w:rPr>
          <w:rStyle w:val="FootnoteReference"/>
          <w:rFonts w:ascii="Times New Roman" w:hAnsi="Times New Roman" w:cs="Times New Roman"/>
          <w:color w:val="000000"/>
          <w:sz w:val="24"/>
          <w:szCs w:val="24"/>
        </w:rPr>
        <w:footnoteReference w:id="1"/>
      </w:r>
      <w:r>
        <w:rPr>
          <w:rFonts w:ascii="Times New Roman" w:hAnsi="Times New Roman" w:cs="Times New Roman"/>
          <w:color w:val="000000"/>
          <w:sz w:val="24"/>
          <w:szCs w:val="24"/>
        </w:rPr>
        <w:t xml:space="preserve"> and </w:t>
      </w:r>
      <w:r w:rsidR="005E4F37">
        <w:rPr>
          <w:rFonts w:ascii="Times New Roman" w:hAnsi="Times New Roman" w:cs="Times New Roman"/>
          <w:color w:val="000000"/>
          <w:sz w:val="24"/>
          <w:szCs w:val="24"/>
        </w:rPr>
        <w:t xml:space="preserve">Georgia as well as the EFTA </w:t>
      </w:r>
      <w:r w:rsidR="00C84233">
        <w:rPr>
          <w:rFonts w:ascii="Times New Roman" w:hAnsi="Times New Roman" w:cs="Times New Roman"/>
          <w:color w:val="000000"/>
          <w:sz w:val="24"/>
          <w:szCs w:val="24"/>
        </w:rPr>
        <w:t>countries Iceland and Norway, members</w:t>
      </w:r>
      <w:r w:rsidR="00C84233">
        <w:rPr>
          <w:rFonts w:ascii="Times New Roman" w:hAnsi="Times New Roman" w:cs="Times New Roman"/>
          <w:color w:val="000000"/>
          <w:sz w:val="24"/>
          <w:szCs w:val="24"/>
        </w:rPr>
        <w:t xml:space="preserve"> </w:t>
      </w:r>
      <w:bookmarkStart w:id="0" w:name="_GoBack"/>
      <w:bookmarkEnd w:id="0"/>
      <w:r w:rsidR="005E4F37" w:rsidRPr="005E4F37">
        <w:rPr>
          <w:rFonts w:ascii="Times New Roman" w:hAnsi="Times New Roman" w:cs="Times New Roman"/>
          <w:color w:val="000000"/>
          <w:sz w:val="24"/>
          <w:szCs w:val="24"/>
        </w:rPr>
        <w:t>of the European Economic Area,</w:t>
      </w:r>
      <w:r w:rsidRPr="006446E4">
        <w:rPr>
          <w:rFonts w:ascii="Times New Roman" w:hAnsi="Times New Roman" w:cs="Times New Roman"/>
          <w:color w:val="000000"/>
          <w:sz w:val="24"/>
          <w:szCs w:val="24"/>
        </w:rPr>
        <w:t xml:space="preserve"> align themselves with this statement.</w:t>
      </w:r>
    </w:p>
    <w:p w14:paraId="21FEDDCD" w14:textId="4B5A6DD2" w:rsidR="00B44E90" w:rsidRPr="002144B2" w:rsidRDefault="00B44E90" w:rsidP="00E33AF2">
      <w:pPr>
        <w:spacing w:after="120" w:line="259" w:lineRule="auto"/>
        <w:jc w:val="both"/>
        <w:rPr>
          <w:rFonts w:ascii="Times New Roman" w:hAnsi="Times New Roman" w:cs="Times New Roman"/>
          <w:sz w:val="24"/>
          <w:szCs w:val="24"/>
        </w:rPr>
      </w:pPr>
      <w:r w:rsidRPr="002144B2">
        <w:rPr>
          <w:rFonts w:ascii="Times New Roman" w:hAnsi="Times New Roman" w:cs="Times New Roman"/>
          <w:sz w:val="24"/>
          <w:szCs w:val="24"/>
        </w:rPr>
        <w:t xml:space="preserve">The EU supports the selection of topics for </w:t>
      </w:r>
      <w:r w:rsidR="001E6C47" w:rsidRPr="002144B2">
        <w:rPr>
          <w:rFonts w:ascii="Times New Roman" w:hAnsi="Times New Roman" w:cs="Times New Roman"/>
          <w:bCs/>
          <w:sz w:val="24"/>
          <w:szCs w:val="24"/>
        </w:rPr>
        <w:t>the</w:t>
      </w:r>
      <w:r w:rsidR="001E6C47" w:rsidRPr="002144B2">
        <w:rPr>
          <w:rFonts w:ascii="Times New Roman" w:hAnsi="Times New Roman" w:cs="Times New Roman"/>
          <w:sz w:val="24"/>
          <w:szCs w:val="24"/>
        </w:rPr>
        <w:t xml:space="preserve"> </w:t>
      </w:r>
      <w:r w:rsidRPr="002144B2">
        <w:rPr>
          <w:rFonts w:ascii="Times New Roman" w:hAnsi="Times New Roman" w:cs="Times New Roman"/>
          <w:sz w:val="24"/>
          <w:szCs w:val="24"/>
        </w:rPr>
        <w:t>CSP12</w:t>
      </w:r>
      <w:r w:rsidR="001E6C47" w:rsidRPr="002144B2">
        <w:rPr>
          <w:rFonts w:ascii="Times New Roman" w:hAnsi="Times New Roman" w:cs="Times New Roman"/>
          <w:sz w:val="24"/>
          <w:szCs w:val="24"/>
        </w:rPr>
        <w:t xml:space="preserve"> </w:t>
      </w:r>
      <w:r w:rsidR="001E6C47" w:rsidRPr="002144B2">
        <w:rPr>
          <w:rFonts w:ascii="Times New Roman" w:hAnsi="Times New Roman" w:cs="Times New Roman"/>
          <w:bCs/>
          <w:sz w:val="24"/>
          <w:szCs w:val="24"/>
        </w:rPr>
        <w:t>WGETI meeting</w:t>
      </w:r>
      <w:r w:rsidRPr="002144B2">
        <w:rPr>
          <w:rFonts w:ascii="Times New Roman" w:hAnsi="Times New Roman" w:cs="Times New Roman"/>
          <w:sz w:val="24"/>
          <w:szCs w:val="24"/>
        </w:rPr>
        <w:t>, while understanding that the opening of new topics should depend</w:t>
      </w:r>
      <w:r w:rsidR="00FC0542" w:rsidRPr="002144B2">
        <w:rPr>
          <w:rFonts w:ascii="Times New Roman" w:hAnsi="Times New Roman" w:cs="Times New Roman"/>
          <w:sz w:val="24"/>
          <w:szCs w:val="24"/>
        </w:rPr>
        <w:t xml:space="preserve"> </w:t>
      </w:r>
      <w:r w:rsidRPr="002144B2">
        <w:rPr>
          <w:rFonts w:ascii="Times New Roman" w:hAnsi="Times New Roman" w:cs="Times New Roman"/>
          <w:sz w:val="24"/>
          <w:szCs w:val="24"/>
        </w:rPr>
        <w:t xml:space="preserve">on the progress on the currently </w:t>
      </w:r>
      <w:r w:rsidR="00FC0542" w:rsidRPr="002144B2">
        <w:rPr>
          <w:rFonts w:ascii="Times New Roman" w:hAnsi="Times New Roman" w:cs="Times New Roman"/>
          <w:sz w:val="24"/>
          <w:szCs w:val="24"/>
        </w:rPr>
        <w:t>discussed</w:t>
      </w:r>
      <w:r w:rsidRPr="002144B2">
        <w:rPr>
          <w:rFonts w:ascii="Times New Roman" w:hAnsi="Times New Roman" w:cs="Times New Roman"/>
          <w:sz w:val="24"/>
          <w:szCs w:val="24"/>
        </w:rPr>
        <w:t xml:space="preserve"> ones and ability to generate deliverables such as comprehensive compilation of national practices, voluntary guidance and deliverables otherwise useful for facilitating implementation and fostering universalization of the Treaty. </w:t>
      </w:r>
    </w:p>
    <w:p w14:paraId="6ED991D1" w14:textId="77777777" w:rsidR="00084C41" w:rsidRDefault="00084C41" w:rsidP="00056343">
      <w:pPr>
        <w:spacing w:after="120"/>
        <w:jc w:val="center"/>
        <w:rPr>
          <w:rFonts w:ascii="Times New Roman" w:hAnsi="Times New Roman" w:cs="Times New Roman"/>
          <w:b/>
          <w:sz w:val="24"/>
          <w:szCs w:val="24"/>
        </w:rPr>
      </w:pPr>
    </w:p>
    <w:p w14:paraId="1B00206A" w14:textId="5F76E26E" w:rsidR="008E48FD" w:rsidRPr="00056343" w:rsidRDefault="008E48FD" w:rsidP="00056343">
      <w:pPr>
        <w:spacing w:after="120"/>
        <w:jc w:val="center"/>
        <w:rPr>
          <w:rFonts w:ascii="Times New Roman" w:hAnsi="Times New Roman" w:cs="Times New Roman"/>
          <w:b/>
          <w:sz w:val="24"/>
          <w:szCs w:val="24"/>
        </w:rPr>
      </w:pPr>
      <w:r w:rsidRPr="00056343">
        <w:rPr>
          <w:rFonts w:ascii="Times New Roman" w:hAnsi="Times New Roman" w:cs="Times New Roman"/>
          <w:b/>
          <w:sz w:val="24"/>
          <w:szCs w:val="24"/>
        </w:rPr>
        <w:t>Sub-working Group on Exchange of National Implementation Practices</w:t>
      </w:r>
    </w:p>
    <w:p w14:paraId="26CAE5E3" w14:textId="4EFD150F" w:rsidR="00B44E90" w:rsidRPr="00B44E90" w:rsidRDefault="00B44E90" w:rsidP="00E33AF2">
      <w:pPr>
        <w:autoSpaceDE w:val="0"/>
        <w:autoSpaceDN w:val="0"/>
        <w:adjustRightInd w:val="0"/>
        <w:spacing w:after="120" w:line="259" w:lineRule="auto"/>
        <w:jc w:val="both"/>
        <w:rPr>
          <w:rFonts w:ascii="Times New Roman" w:hAnsi="Times New Roman" w:cs="Times New Roman"/>
          <w:sz w:val="24"/>
          <w:szCs w:val="24"/>
          <w:lang w:eastAsia="en-GB"/>
        </w:rPr>
      </w:pPr>
      <w:r w:rsidRPr="00B44E90">
        <w:rPr>
          <w:rFonts w:ascii="Times New Roman" w:hAnsi="Times New Roman" w:cs="Times New Roman"/>
          <w:sz w:val="24"/>
          <w:szCs w:val="24"/>
          <w:lang w:eastAsia="en-GB"/>
        </w:rPr>
        <w:t xml:space="preserve">The EU wants to express gratitude to Mr. Kawa and Ms. </w:t>
      </w:r>
      <w:proofErr w:type="spellStart"/>
      <w:r w:rsidRPr="00B44E90">
        <w:rPr>
          <w:rFonts w:ascii="Times New Roman" w:hAnsi="Times New Roman" w:cs="Times New Roman"/>
          <w:sz w:val="24"/>
          <w:szCs w:val="24"/>
          <w:lang w:eastAsia="en-GB"/>
        </w:rPr>
        <w:t>Weldemichael</w:t>
      </w:r>
      <w:proofErr w:type="spellEnd"/>
      <w:r w:rsidRPr="00B44E90">
        <w:rPr>
          <w:rFonts w:ascii="Times New Roman" w:hAnsi="Times New Roman" w:cs="Times New Roman"/>
          <w:sz w:val="24"/>
          <w:szCs w:val="24"/>
          <w:lang w:eastAsia="en-GB"/>
        </w:rPr>
        <w:t xml:space="preserve"> of Sierra Leone for assuming duties of facilitators</w:t>
      </w:r>
      <w:r w:rsidR="00FC0542">
        <w:rPr>
          <w:rFonts w:ascii="Times New Roman" w:hAnsi="Times New Roman" w:cs="Times New Roman"/>
          <w:sz w:val="24"/>
          <w:szCs w:val="24"/>
          <w:lang w:eastAsia="en-GB"/>
        </w:rPr>
        <w:t xml:space="preserve"> of this </w:t>
      </w:r>
      <w:r w:rsidR="004E0453">
        <w:rPr>
          <w:rFonts w:ascii="Times New Roman" w:hAnsi="Times New Roman" w:cs="Times New Roman"/>
          <w:sz w:val="24"/>
          <w:szCs w:val="24"/>
          <w:lang w:eastAsia="en-GB"/>
        </w:rPr>
        <w:t>s</w:t>
      </w:r>
      <w:r w:rsidR="00FC0542">
        <w:rPr>
          <w:rFonts w:ascii="Times New Roman" w:hAnsi="Times New Roman" w:cs="Times New Roman"/>
          <w:sz w:val="24"/>
          <w:szCs w:val="24"/>
          <w:lang w:eastAsia="en-GB"/>
        </w:rPr>
        <w:t xml:space="preserve">ub-working </w:t>
      </w:r>
      <w:r w:rsidR="004E0453">
        <w:rPr>
          <w:rFonts w:ascii="Times New Roman" w:hAnsi="Times New Roman" w:cs="Times New Roman"/>
          <w:sz w:val="24"/>
          <w:szCs w:val="24"/>
          <w:lang w:eastAsia="en-GB"/>
        </w:rPr>
        <w:t>g</w:t>
      </w:r>
      <w:r w:rsidR="00FC0542">
        <w:rPr>
          <w:rFonts w:ascii="Times New Roman" w:hAnsi="Times New Roman" w:cs="Times New Roman"/>
          <w:sz w:val="24"/>
          <w:szCs w:val="24"/>
          <w:lang w:eastAsia="en-GB"/>
        </w:rPr>
        <w:t>roup</w:t>
      </w:r>
      <w:r w:rsidRPr="00B44E90">
        <w:rPr>
          <w:rFonts w:ascii="Times New Roman" w:hAnsi="Times New Roman" w:cs="Times New Roman"/>
          <w:sz w:val="24"/>
          <w:szCs w:val="24"/>
          <w:lang w:eastAsia="en-GB"/>
        </w:rPr>
        <w:t xml:space="preserve">, and for focusing the discussion around clear-cut guiding questions. </w:t>
      </w:r>
    </w:p>
    <w:p w14:paraId="50E1FA06" w14:textId="29F388DC" w:rsidR="00B44E90" w:rsidRPr="00B44E90" w:rsidRDefault="00B44E90" w:rsidP="00E33AF2">
      <w:pPr>
        <w:autoSpaceDE w:val="0"/>
        <w:autoSpaceDN w:val="0"/>
        <w:adjustRightInd w:val="0"/>
        <w:spacing w:after="120" w:line="259" w:lineRule="auto"/>
        <w:jc w:val="both"/>
        <w:rPr>
          <w:rFonts w:ascii="Times New Roman" w:hAnsi="Times New Roman" w:cs="Times New Roman"/>
          <w:sz w:val="24"/>
          <w:szCs w:val="24"/>
          <w:lang w:eastAsia="en-GB"/>
        </w:rPr>
      </w:pPr>
      <w:r w:rsidRPr="00B44E90">
        <w:rPr>
          <w:rFonts w:ascii="Times New Roman" w:hAnsi="Times New Roman" w:cs="Times New Roman"/>
          <w:sz w:val="24"/>
          <w:szCs w:val="24"/>
          <w:lang w:eastAsia="en-GB"/>
        </w:rPr>
        <w:t xml:space="preserve">Let me use this opportunity to inform about the EU Common Military </w:t>
      </w:r>
      <w:r w:rsidR="00FC0542">
        <w:rPr>
          <w:rFonts w:ascii="Times New Roman" w:hAnsi="Times New Roman" w:cs="Times New Roman"/>
          <w:sz w:val="24"/>
          <w:szCs w:val="24"/>
          <w:lang w:eastAsia="en-GB"/>
        </w:rPr>
        <w:t>List</w:t>
      </w:r>
      <w:r w:rsidR="00F36CD1">
        <w:rPr>
          <w:rFonts w:ascii="Times New Roman" w:hAnsi="Times New Roman" w:cs="Times New Roman"/>
          <w:sz w:val="24"/>
          <w:szCs w:val="24"/>
          <w:lang w:eastAsia="en-GB"/>
        </w:rPr>
        <w:t>,</w:t>
      </w:r>
      <w:r w:rsidR="00FC0542">
        <w:rPr>
          <w:rFonts w:ascii="Times New Roman" w:hAnsi="Times New Roman" w:cs="Times New Roman"/>
          <w:sz w:val="24"/>
          <w:szCs w:val="24"/>
          <w:lang w:eastAsia="en-GB"/>
        </w:rPr>
        <w:t xml:space="preserve"> which is a</w:t>
      </w:r>
      <w:r w:rsidRPr="00B44E90">
        <w:rPr>
          <w:rFonts w:ascii="Times New Roman" w:hAnsi="Times New Roman" w:cs="Times New Roman"/>
          <w:sz w:val="24"/>
          <w:szCs w:val="24"/>
          <w:lang w:eastAsia="en-GB"/>
        </w:rPr>
        <w:t xml:space="preserve"> unique control list in terms of being both legally binding and having a regional scope</w:t>
      </w:r>
      <w:r w:rsidR="00F36CD1">
        <w:rPr>
          <w:rFonts w:ascii="Times New Roman" w:hAnsi="Times New Roman" w:cs="Times New Roman"/>
          <w:sz w:val="24"/>
          <w:szCs w:val="24"/>
          <w:lang w:eastAsia="en-GB"/>
        </w:rPr>
        <w:t>,</w:t>
      </w:r>
      <w:r w:rsidRPr="00B44E90">
        <w:rPr>
          <w:rFonts w:ascii="Times New Roman" w:hAnsi="Times New Roman" w:cs="Times New Roman"/>
          <w:sz w:val="24"/>
          <w:szCs w:val="24"/>
          <w:lang w:eastAsia="en-GB"/>
        </w:rPr>
        <w:t xml:space="preserve"> </w:t>
      </w:r>
      <w:r w:rsidR="00FC0542">
        <w:rPr>
          <w:rFonts w:ascii="Times New Roman" w:hAnsi="Times New Roman" w:cs="Times New Roman"/>
          <w:sz w:val="24"/>
          <w:szCs w:val="24"/>
          <w:lang w:eastAsia="en-GB"/>
        </w:rPr>
        <w:br/>
      </w:r>
      <w:r w:rsidR="00757281" w:rsidRPr="00D508EF">
        <w:rPr>
          <w:rFonts w:ascii="Times New Roman" w:hAnsi="Times New Roman" w:cs="Times New Roman"/>
          <w:bCs/>
          <w:sz w:val="24"/>
          <w:szCs w:val="24"/>
          <w:lang w:eastAsia="en-GB"/>
        </w:rPr>
        <w:t>before</w:t>
      </w:r>
      <w:r w:rsidR="00757281">
        <w:rPr>
          <w:rFonts w:ascii="Times New Roman" w:hAnsi="Times New Roman" w:cs="Times New Roman"/>
          <w:sz w:val="24"/>
          <w:szCs w:val="24"/>
          <w:lang w:eastAsia="en-GB"/>
        </w:rPr>
        <w:t xml:space="preserve"> </w:t>
      </w:r>
      <w:r w:rsidRPr="00B44E90">
        <w:rPr>
          <w:rFonts w:ascii="Times New Roman" w:hAnsi="Times New Roman" w:cs="Times New Roman"/>
          <w:sz w:val="24"/>
          <w:szCs w:val="24"/>
          <w:lang w:eastAsia="en-GB"/>
        </w:rPr>
        <w:t xml:space="preserve">I proceed to comment on </w:t>
      </w:r>
      <w:r w:rsidR="00757281" w:rsidRPr="0015416E">
        <w:rPr>
          <w:rFonts w:ascii="Times New Roman" w:hAnsi="Times New Roman" w:cs="Times New Roman"/>
          <w:bCs/>
          <w:sz w:val="24"/>
          <w:szCs w:val="24"/>
          <w:lang w:eastAsia="en-GB"/>
        </w:rPr>
        <w:t>the</w:t>
      </w:r>
      <w:r w:rsidR="00757281" w:rsidRPr="00757281">
        <w:rPr>
          <w:rFonts w:ascii="Times New Roman" w:hAnsi="Times New Roman" w:cs="Times New Roman"/>
          <w:sz w:val="24"/>
          <w:szCs w:val="24"/>
          <w:lang w:eastAsia="en-GB"/>
        </w:rPr>
        <w:t xml:space="preserve"> </w:t>
      </w:r>
      <w:r w:rsidRPr="00B44E90">
        <w:rPr>
          <w:rFonts w:ascii="Times New Roman" w:hAnsi="Times New Roman" w:cs="Times New Roman"/>
          <w:sz w:val="24"/>
          <w:szCs w:val="24"/>
          <w:lang w:eastAsia="en-GB"/>
        </w:rPr>
        <w:t xml:space="preserve">benefits of use of common control lists by groups of </w:t>
      </w:r>
      <w:r w:rsidR="00FC0542">
        <w:rPr>
          <w:rFonts w:ascii="Times New Roman" w:hAnsi="Times New Roman" w:cs="Times New Roman"/>
          <w:sz w:val="24"/>
          <w:szCs w:val="24"/>
          <w:lang w:eastAsia="en-GB"/>
        </w:rPr>
        <w:t>S</w:t>
      </w:r>
      <w:r w:rsidRPr="00B44E90">
        <w:rPr>
          <w:rFonts w:ascii="Times New Roman" w:hAnsi="Times New Roman" w:cs="Times New Roman"/>
          <w:sz w:val="24"/>
          <w:szCs w:val="24"/>
          <w:lang w:eastAsia="en-GB"/>
        </w:rPr>
        <w:t>tates in regions.</w:t>
      </w:r>
    </w:p>
    <w:p w14:paraId="084199BD" w14:textId="3CB65AB0" w:rsidR="00B44E90" w:rsidRPr="00B44E90" w:rsidRDefault="00B44E90" w:rsidP="00E33AF2">
      <w:pPr>
        <w:autoSpaceDE w:val="0"/>
        <w:autoSpaceDN w:val="0"/>
        <w:adjustRightInd w:val="0"/>
        <w:spacing w:after="120" w:line="259" w:lineRule="auto"/>
        <w:jc w:val="both"/>
        <w:rPr>
          <w:rFonts w:ascii="Times New Roman" w:hAnsi="Times New Roman" w:cs="Times New Roman"/>
          <w:sz w:val="24"/>
          <w:szCs w:val="24"/>
          <w:lang w:eastAsia="en-GB"/>
        </w:rPr>
      </w:pPr>
      <w:r w:rsidRPr="00B44E90">
        <w:rPr>
          <w:rFonts w:ascii="Times New Roman" w:hAnsi="Times New Roman" w:cs="Times New Roman"/>
          <w:sz w:val="24"/>
          <w:szCs w:val="24"/>
          <w:lang w:eastAsia="en-GB"/>
        </w:rPr>
        <w:t>EU Member States apply the EU Common Military List</w:t>
      </w:r>
      <w:r w:rsidR="00FC0542">
        <w:rPr>
          <w:rFonts w:ascii="Times New Roman" w:hAnsi="Times New Roman" w:cs="Times New Roman"/>
          <w:sz w:val="24"/>
          <w:szCs w:val="24"/>
          <w:lang w:eastAsia="en-GB"/>
        </w:rPr>
        <w:t>,</w:t>
      </w:r>
      <w:r w:rsidRPr="00B44E90">
        <w:rPr>
          <w:rFonts w:ascii="Times New Roman" w:hAnsi="Times New Roman" w:cs="Times New Roman"/>
          <w:sz w:val="24"/>
          <w:szCs w:val="24"/>
          <w:lang w:eastAsia="en-GB"/>
        </w:rPr>
        <w:t xml:space="preserve"> which is a transposition of </w:t>
      </w:r>
      <w:r w:rsidR="00757281" w:rsidRPr="0015416E">
        <w:rPr>
          <w:rFonts w:ascii="Times New Roman" w:hAnsi="Times New Roman" w:cs="Times New Roman"/>
          <w:bCs/>
          <w:sz w:val="24"/>
          <w:szCs w:val="24"/>
          <w:lang w:eastAsia="en-GB"/>
        </w:rPr>
        <w:t>the</w:t>
      </w:r>
      <w:r w:rsidR="00757281">
        <w:rPr>
          <w:rFonts w:ascii="Times New Roman" w:hAnsi="Times New Roman" w:cs="Times New Roman"/>
          <w:sz w:val="24"/>
          <w:szCs w:val="24"/>
          <w:lang w:eastAsia="en-GB"/>
        </w:rPr>
        <w:t xml:space="preserve"> </w:t>
      </w:r>
      <w:r w:rsidRPr="00B44E90">
        <w:rPr>
          <w:rFonts w:ascii="Times New Roman" w:hAnsi="Times New Roman" w:cs="Times New Roman"/>
          <w:sz w:val="24"/>
          <w:szCs w:val="24"/>
          <w:lang w:eastAsia="en-GB"/>
        </w:rPr>
        <w:t xml:space="preserve">Wassenaar Arrangement’s Munitions List to EU law, and is binding on EU Member States. In order to have </w:t>
      </w:r>
      <w:r w:rsidR="00F36CD1">
        <w:rPr>
          <w:rFonts w:ascii="Times New Roman" w:hAnsi="Times New Roman" w:cs="Times New Roman"/>
          <w:sz w:val="24"/>
          <w:szCs w:val="24"/>
          <w:lang w:eastAsia="en-GB"/>
        </w:rPr>
        <w:t xml:space="preserve">a </w:t>
      </w:r>
      <w:r w:rsidRPr="00B44E90">
        <w:rPr>
          <w:rFonts w:ascii="Times New Roman" w:hAnsi="Times New Roman" w:cs="Times New Roman"/>
          <w:sz w:val="24"/>
          <w:szCs w:val="24"/>
          <w:lang w:eastAsia="en-GB"/>
        </w:rPr>
        <w:t xml:space="preserve">direct effect for natural and legal persons in legal systems of Member States, it must be transposed into national legislation. It may be supplemented by additional elements on the national level, thereby forming the common part of possibly broader national control lists. </w:t>
      </w:r>
    </w:p>
    <w:p w14:paraId="10BD2630" w14:textId="77777777" w:rsidR="00003122" w:rsidRDefault="00003122" w:rsidP="00E33AF2">
      <w:pPr>
        <w:autoSpaceDE w:val="0"/>
        <w:autoSpaceDN w:val="0"/>
        <w:adjustRightInd w:val="0"/>
        <w:spacing w:after="120" w:line="259" w:lineRule="auto"/>
        <w:jc w:val="both"/>
        <w:rPr>
          <w:rFonts w:ascii="Times New Roman" w:hAnsi="Times New Roman" w:cs="Times New Roman"/>
          <w:sz w:val="24"/>
          <w:szCs w:val="24"/>
          <w:lang w:eastAsia="en-GB"/>
        </w:rPr>
      </w:pPr>
    </w:p>
    <w:p w14:paraId="7798CF87" w14:textId="77777777" w:rsidR="00003122" w:rsidRDefault="00003122" w:rsidP="00E33AF2">
      <w:pPr>
        <w:autoSpaceDE w:val="0"/>
        <w:autoSpaceDN w:val="0"/>
        <w:adjustRightInd w:val="0"/>
        <w:spacing w:after="120" w:line="259" w:lineRule="auto"/>
        <w:jc w:val="both"/>
        <w:rPr>
          <w:rFonts w:ascii="Times New Roman" w:hAnsi="Times New Roman" w:cs="Times New Roman"/>
          <w:sz w:val="24"/>
          <w:szCs w:val="24"/>
          <w:lang w:eastAsia="en-GB"/>
        </w:rPr>
      </w:pPr>
    </w:p>
    <w:p w14:paraId="57B3AE2B" w14:textId="007A86FA" w:rsidR="00B44E90" w:rsidRPr="00B44E90" w:rsidRDefault="00B44E90" w:rsidP="00E33AF2">
      <w:pPr>
        <w:autoSpaceDE w:val="0"/>
        <w:autoSpaceDN w:val="0"/>
        <w:adjustRightInd w:val="0"/>
        <w:spacing w:after="120" w:line="259" w:lineRule="auto"/>
        <w:jc w:val="both"/>
        <w:rPr>
          <w:rFonts w:ascii="Times New Roman" w:hAnsi="Times New Roman" w:cs="Times New Roman"/>
          <w:sz w:val="24"/>
          <w:szCs w:val="24"/>
          <w:lang w:eastAsia="en-GB"/>
        </w:rPr>
      </w:pPr>
      <w:r w:rsidRPr="00B44E90">
        <w:rPr>
          <w:rFonts w:ascii="Times New Roman" w:hAnsi="Times New Roman" w:cs="Times New Roman"/>
          <w:sz w:val="24"/>
          <w:szCs w:val="24"/>
          <w:lang w:eastAsia="en-GB"/>
        </w:rPr>
        <w:t xml:space="preserve">The </w:t>
      </w:r>
      <w:r w:rsidR="00FC0542" w:rsidRPr="00B44E90">
        <w:rPr>
          <w:rFonts w:ascii="Times New Roman" w:hAnsi="Times New Roman" w:cs="Times New Roman"/>
          <w:sz w:val="24"/>
          <w:szCs w:val="24"/>
          <w:lang w:eastAsia="en-GB"/>
        </w:rPr>
        <w:t>EU Common Military List</w:t>
      </w:r>
      <w:r w:rsidRPr="00B44E90">
        <w:rPr>
          <w:rFonts w:ascii="Times New Roman" w:hAnsi="Times New Roman" w:cs="Times New Roman"/>
          <w:sz w:val="24"/>
          <w:szCs w:val="24"/>
          <w:lang w:eastAsia="en-GB"/>
        </w:rPr>
        <w:t>:</w:t>
      </w:r>
    </w:p>
    <w:p w14:paraId="232D7E8A" w14:textId="03F85130" w:rsidR="00B44E90" w:rsidRPr="00B44E90" w:rsidRDefault="00B44E90" w:rsidP="00F7408D">
      <w:pPr>
        <w:numPr>
          <w:ilvl w:val="0"/>
          <w:numId w:val="38"/>
        </w:numPr>
        <w:autoSpaceDE w:val="0"/>
        <w:autoSpaceDN w:val="0"/>
        <w:adjustRightInd w:val="0"/>
        <w:spacing w:after="120" w:line="259" w:lineRule="auto"/>
        <w:ind w:left="426"/>
        <w:jc w:val="both"/>
        <w:rPr>
          <w:rFonts w:ascii="Times New Roman" w:hAnsi="Times New Roman" w:cs="Times New Roman"/>
          <w:sz w:val="24"/>
          <w:szCs w:val="24"/>
          <w:lang w:eastAsia="en-GB"/>
        </w:rPr>
      </w:pPr>
      <w:r w:rsidRPr="00B44E90">
        <w:rPr>
          <w:rFonts w:ascii="Times New Roman" w:hAnsi="Times New Roman" w:cs="Times New Roman"/>
          <w:sz w:val="24"/>
          <w:szCs w:val="24"/>
          <w:lang w:eastAsia="en-GB"/>
        </w:rPr>
        <w:t xml:space="preserve">as to the scope of coverage and definitions, shares all features of </w:t>
      </w:r>
      <w:r w:rsidR="00757281" w:rsidRPr="0015416E">
        <w:rPr>
          <w:rFonts w:ascii="Times New Roman" w:hAnsi="Times New Roman" w:cs="Times New Roman"/>
          <w:bCs/>
          <w:sz w:val="24"/>
          <w:szCs w:val="24"/>
          <w:lang w:eastAsia="en-GB"/>
        </w:rPr>
        <w:t>the</w:t>
      </w:r>
      <w:r w:rsidR="00757281">
        <w:rPr>
          <w:rFonts w:ascii="Times New Roman" w:hAnsi="Times New Roman" w:cs="Times New Roman"/>
          <w:sz w:val="24"/>
          <w:szCs w:val="24"/>
          <w:lang w:eastAsia="en-GB"/>
        </w:rPr>
        <w:t xml:space="preserve"> </w:t>
      </w:r>
      <w:r w:rsidRPr="00B44E90">
        <w:rPr>
          <w:rFonts w:ascii="Times New Roman" w:hAnsi="Times New Roman" w:cs="Times New Roman"/>
          <w:sz w:val="24"/>
          <w:szCs w:val="24"/>
          <w:lang w:eastAsia="en-GB"/>
        </w:rPr>
        <w:t>Wassenaar Arra</w:t>
      </w:r>
      <w:r w:rsidR="00FC0542">
        <w:rPr>
          <w:rFonts w:ascii="Times New Roman" w:hAnsi="Times New Roman" w:cs="Times New Roman"/>
          <w:sz w:val="24"/>
          <w:szCs w:val="24"/>
          <w:lang w:eastAsia="en-GB"/>
        </w:rPr>
        <w:t>ngement’s Munitions List;</w:t>
      </w:r>
      <w:r w:rsidRPr="00B44E90">
        <w:rPr>
          <w:rFonts w:ascii="Times New Roman" w:hAnsi="Times New Roman" w:cs="Times New Roman"/>
          <w:sz w:val="24"/>
          <w:szCs w:val="24"/>
          <w:lang w:eastAsia="en-GB"/>
        </w:rPr>
        <w:t xml:space="preserve"> </w:t>
      </w:r>
    </w:p>
    <w:p w14:paraId="235C4296" w14:textId="321FDD55" w:rsidR="00B44E90" w:rsidRPr="00B44E90" w:rsidRDefault="00B44E90" w:rsidP="00F7408D">
      <w:pPr>
        <w:numPr>
          <w:ilvl w:val="0"/>
          <w:numId w:val="38"/>
        </w:numPr>
        <w:autoSpaceDE w:val="0"/>
        <w:autoSpaceDN w:val="0"/>
        <w:adjustRightInd w:val="0"/>
        <w:spacing w:after="120" w:line="259" w:lineRule="auto"/>
        <w:ind w:left="426"/>
        <w:jc w:val="both"/>
        <w:rPr>
          <w:rFonts w:ascii="Times New Roman" w:hAnsi="Times New Roman" w:cs="Times New Roman"/>
          <w:sz w:val="24"/>
          <w:szCs w:val="24"/>
          <w:lang w:eastAsia="en-GB"/>
        </w:rPr>
      </w:pPr>
      <w:r w:rsidRPr="00B44E90">
        <w:rPr>
          <w:rFonts w:ascii="Times New Roman" w:hAnsi="Times New Roman" w:cs="Times New Roman"/>
          <w:sz w:val="24"/>
          <w:szCs w:val="24"/>
          <w:lang w:eastAsia="en-GB"/>
        </w:rPr>
        <w:t xml:space="preserve">is updated each time following updates to </w:t>
      </w:r>
      <w:r w:rsidR="00757281" w:rsidRPr="0015416E">
        <w:rPr>
          <w:rFonts w:ascii="Times New Roman" w:hAnsi="Times New Roman" w:cs="Times New Roman"/>
          <w:bCs/>
          <w:sz w:val="24"/>
          <w:szCs w:val="24"/>
          <w:lang w:eastAsia="en-GB"/>
        </w:rPr>
        <w:t>the</w:t>
      </w:r>
      <w:r w:rsidR="00757281">
        <w:rPr>
          <w:rFonts w:ascii="Times New Roman" w:hAnsi="Times New Roman" w:cs="Times New Roman"/>
          <w:sz w:val="24"/>
          <w:szCs w:val="24"/>
          <w:lang w:eastAsia="en-GB"/>
        </w:rPr>
        <w:t xml:space="preserve"> </w:t>
      </w:r>
      <w:r w:rsidR="00FC0542" w:rsidRPr="00B44E90">
        <w:rPr>
          <w:rFonts w:ascii="Times New Roman" w:hAnsi="Times New Roman" w:cs="Times New Roman"/>
          <w:sz w:val="24"/>
          <w:szCs w:val="24"/>
          <w:lang w:eastAsia="en-GB"/>
        </w:rPr>
        <w:t>Wassenaar Arra</w:t>
      </w:r>
      <w:r w:rsidR="00FC0542">
        <w:rPr>
          <w:rFonts w:ascii="Times New Roman" w:hAnsi="Times New Roman" w:cs="Times New Roman"/>
          <w:sz w:val="24"/>
          <w:szCs w:val="24"/>
          <w:lang w:eastAsia="en-GB"/>
        </w:rPr>
        <w:t>ngement’s Munitions List</w:t>
      </w:r>
      <w:r w:rsidRPr="00B44E90">
        <w:rPr>
          <w:rFonts w:ascii="Times New Roman" w:hAnsi="Times New Roman" w:cs="Times New Roman"/>
          <w:sz w:val="24"/>
          <w:szCs w:val="24"/>
          <w:lang w:eastAsia="en-GB"/>
        </w:rPr>
        <w:t>;</w:t>
      </w:r>
    </w:p>
    <w:p w14:paraId="25732ECA" w14:textId="4CA0BCAA" w:rsidR="00B44E90" w:rsidRPr="00B44E90" w:rsidRDefault="00B44E90" w:rsidP="00F7408D">
      <w:pPr>
        <w:numPr>
          <w:ilvl w:val="0"/>
          <w:numId w:val="38"/>
        </w:numPr>
        <w:autoSpaceDE w:val="0"/>
        <w:autoSpaceDN w:val="0"/>
        <w:adjustRightInd w:val="0"/>
        <w:spacing w:after="120" w:line="259" w:lineRule="auto"/>
        <w:ind w:left="426"/>
        <w:jc w:val="both"/>
        <w:rPr>
          <w:rFonts w:ascii="Times New Roman" w:hAnsi="Times New Roman" w:cs="Times New Roman"/>
          <w:sz w:val="24"/>
          <w:szCs w:val="24"/>
          <w:lang w:eastAsia="en-GB"/>
        </w:rPr>
      </w:pPr>
      <w:proofErr w:type="gramStart"/>
      <w:r w:rsidRPr="00B44E90">
        <w:rPr>
          <w:rFonts w:ascii="Times New Roman" w:hAnsi="Times New Roman" w:cs="Times New Roman"/>
          <w:sz w:val="24"/>
          <w:szCs w:val="24"/>
          <w:lang w:eastAsia="en-GB"/>
        </w:rPr>
        <w:t>applies</w:t>
      </w:r>
      <w:proofErr w:type="gramEnd"/>
      <w:r w:rsidRPr="00B44E90">
        <w:rPr>
          <w:rFonts w:ascii="Times New Roman" w:hAnsi="Times New Roman" w:cs="Times New Roman"/>
          <w:sz w:val="24"/>
          <w:szCs w:val="24"/>
          <w:lang w:eastAsia="en-GB"/>
        </w:rPr>
        <w:t xml:space="preserve"> to export, transit, </w:t>
      </w:r>
      <w:proofErr w:type="spellStart"/>
      <w:r w:rsidRPr="00B44E90">
        <w:rPr>
          <w:rFonts w:ascii="Times New Roman" w:hAnsi="Times New Roman" w:cs="Times New Roman"/>
          <w:sz w:val="24"/>
          <w:szCs w:val="24"/>
          <w:lang w:eastAsia="en-GB"/>
        </w:rPr>
        <w:t>tran</w:t>
      </w:r>
      <w:r w:rsidR="00F36CD1">
        <w:rPr>
          <w:rFonts w:ascii="Times New Roman" w:hAnsi="Times New Roman" w:cs="Times New Roman"/>
          <w:sz w:val="24"/>
          <w:szCs w:val="24"/>
          <w:lang w:eastAsia="en-GB"/>
        </w:rPr>
        <w:t>s</w:t>
      </w:r>
      <w:r w:rsidRPr="00B44E90">
        <w:rPr>
          <w:rFonts w:ascii="Times New Roman" w:hAnsi="Times New Roman" w:cs="Times New Roman"/>
          <w:sz w:val="24"/>
          <w:szCs w:val="24"/>
          <w:lang w:eastAsia="en-GB"/>
        </w:rPr>
        <w:t>shipment</w:t>
      </w:r>
      <w:proofErr w:type="spellEnd"/>
      <w:r w:rsidRPr="00B44E90">
        <w:rPr>
          <w:rFonts w:ascii="Times New Roman" w:hAnsi="Times New Roman" w:cs="Times New Roman"/>
          <w:sz w:val="24"/>
          <w:szCs w:val="24"/>
          <w:lang w:eastAsia="en-GB"/>
        </w:rPr>
        <w:t>, and brokering invo</w:t>
      </w:r>
      <w:r w:rsidR="00FC0542">
        <w:rPr>
          <w:rFonts w:ascii="Times New Roman" w:hAnsi="Times New Roman" w:cs="Times New Roman"/>
          <w:sz w:val="24"/>
          <w:szCs w:val="24"/>
          <w:lang w:eastAsia="en-GB"/>
        </w:rPr>
        <w:t>lving arms transfers to non-EU S</w:t>
      </w:r>
      <w:r w:rsidRPr="00B44E90">
        <w:rPr>
          <w:rFonts w:ascii="Times New Roman" w:hAnsi="Times New Roman" w:cs="Times New Roman"/>
          <w:sz w:val="24"/>
          <w:szCs w:val="24"/>
          <w:lang w:eastAsia="en-GB"/>
        </w:rPr>
        <w:t>tates. It also applies to transfers of defence-related products between EU Member States under simplified terms and conditions.</w:t>
      </w:r>
    </w:p>
    <w:p w14:paraId="4ED6BAFF" w14:textId="2CB39908" w:rsidR="00B44E90" w:rsidRPr="00B44E90" w:rsidRDefault="00B44E90" w:rsidP="00E33AF2">
      <w:pPr>
        <w:autoSpaceDE w:val="0"/>
        <w:autoSpaceDN w:val="0"/>
        <w:adjustRightInd w:val="0"/>
        <w:spacing w:after="120" w:line="259" w:lineRule="auto"/>
        <w:jc w:val="both"/>
        <w:rPr>
          <w:rFonts w:ascii="Times New Roman" w:hAnsi="Times New Roman" w:cs="Times New Roman"/>
          <w:sz w:val="24"/>
          <w:szCs w:val="24"/>
          <w:lang w:eastAsia="en-GB"/>
        </w:rPr>
      </w:pPr>
      <w:r w:rsidRPr="00B44E90">
        <w:rPr>
          <w:rFonts w:ascii="Times New Roman" w:hAnsi="Times New Roman" w:cs="Times New Roman"/>
          <w:sz w:val="24"/>
          <w:szCs w:val="24"/>
          <w:lang w:eastAsia="en-GB"/>
        </w:rPr>
        <w:t xml:space="preserve">The EU’s offer of technical assistance to partner states under </w:t>
      </w:r>
      <w:r w:rsidR="00F36CD1">
        <w:rPr>
          <w:rFonts w:ascii="Times New Roman" w:hAnsi="Times New Roman" w:cs="Times New Roman"/>
          <w:sz w:val="24"/>
          <w:szCs w:val="24"/>
          <w:lang w:eastAsia="en-GB"/>
        </w:rPr>
        <w:t xml:space="preserve">the </w:t>
      </w:r>
      <w:r w:rsidRPr="00B44E90">
        <w:rPr>
          <w:rFonts w:ascii="Times New Roman" w:hAnsi="Times New Roman" w:cs="Times New Roman"/>
          <w:sz w:val="24"/>
          <w:szCs w:val="24"/>
          <w:lang w:eastAsia="en-GB"/>
        </w:rPr>
        <w:t xml:space="preserve">EU ATT Outreach programme </w:t>
      </w:r>
      <w:r w:rsidR="00757281" w:rsidRPr="0015416E">
        <w:rPr>
          <w:rFonts w:ascii="Times New Roman" w:hAnsi="Times New Roman" w:cs="Times New Roman"/>
          <w:bCs/>
          <w:sz w:val="24"/>
          <w:szCs w:val="24"/>
          <w:lang w:eastAsia="en-GB"/>
        </w:rPr>
        <w:t>also</w:t>
      </w:r>
      <w:r w:rsidR="00757281">
        <w:rPr>
          <w:rFonts w:ascii="Times New Roman" w:hAnsi="Times New Roman" w:cs="Times New Roman"/>
          <w:sz w:val="24"/>
          <w:szCs w:val="24"/>
          <w:lang w:eastAsia="en-GB"/>
        </w:rPr>
        <w:t xml:space="preserve"> </w:t>
      </w:r>
      <w:r w:rsidRPr="00B44E90">
        <w:rPr>
          <w:rFonts w:ascii="Times New Roman" w:hAnsi="Times New Roman" w:cs="Times New Roman"/>
          <w:sz w:val="24"/>
          <w:szCs w:val="24"/>
          <w:lang w:eastAsia="en-GB"/>
        </w:rPr>
        <w:t xml:space="preserve">includes assistance in establishing national control lists, if and as requested. </w:t>
      </w:r>
    </w:p>
    <w:p w14:paraId="1ED0AAA5" w14:textId="1C3F27F1" w:rsidR="00B44E90" w:rsidRPr="00B44E90" w:rsidRDefault="00B44E90" w:rsidP="00E33AF2">
      <w:pPr>
        <w:autoSpaceDE w:val="0"/>
        <w:autoSpaceDN w:val="0"/>
        <w:adjustRightInd w:val="0"/>
        <w:spacing w:after="120" w:line="259" w:lineRule="auto"/>
        <w:jc w:val="both"/>
        <w:rPr>
          <w:rFonts w:ascii="Times New Roman" w:hAnsi="Times New Roman" w:cs="Times New Roman"/>
          <w:sz w:val="24"/>
          <w:szCs w:val="24"/>
          <w:lang w:eastAsia="en-GB"/>
        </w:rPr>
      </w:pPr>
      <w:r w:rsidRPr="00B44E90">
        <w:rPr>
          <w:rFonts w:ascii="Times New Roman" w:hAnsi="Times New Roman" w:cs="Times New Roman"/>
          <w:sz w:val="24"/>
          <w:szCs w:val="24"/>
          <w:lang w:eastAsia="en-GB"/>
        </w:rPr>
        <w:t xml:space="preserve">The EU recognizes, chiefly from its own experience, the value of common control lists for facilitation of tracking of arms transfers, </w:t>
      </w:r>
      <w:r w:rsidR="00757281" w:rsidRPr="007A1B12">
        <w:rPr>
          <w:rFonts w:ascii="Times New Roman" w:hAnsi="Times New Roman" w:cs="Times New Roman"/>
          <w:bCs/>
          <w:sz w:val="24"/>
          <w:szCs w:val="24"/>
          <w:lang w:eastAsia="en-GB"/>
        </w:rPr>
        <w:t>increasing</w:t>
      </w:r>
      <w:r w:rsidR="00757281">
        <w:rPr>
          <w:rFonts w:ascii="Times New Roman" w:hAnsi="Times New Roman" w:cs="Times New Roman"/>
          <w:sz w:val="24"/>
          <w:szCs w:val="24"/>
          <w:lang w:eastAsia="en-GB"/>
        </w:rPr>
        <w:t xml:space="preserve"> </w:t>
      </w:r>
      <w:r w:rsidRPr="00B44E90">
        <w:rPr>
          <w:rFonts w:ascii="Times New Roman" w:hAnsi="Times New Roman" w:cs="Times New Roman"/>
          <w:sz w:val="24"/>
          <w:szCs w:val="24"/>
          <w:lang w:eastAsia="en-GB"/>
        </w:rPr>
        <w:t>transpare</w:t>
      </w:r>
      <w:r w:rsidR="004E0453">
        <w:rPr>
          <w:rFonts w:ascii="Times New Roman" w:hAnsi="Times New Roman" w:cs="Times New Roman"/>
          <w:sz w:val="24"/>
          <w:szCs w:val="24"/>
          <w:lang w:eastAsia="en-GB"/>
        </w:rPr>
        <w:t xml:space="preserve">ncy and </w:t>
      </w:r>
      <w:r w:rsidR="00757281" w:rsidRPr="007A1B12">
        <w:rPr>
          <w:rFonts w:ascii="Times New Roman" w:hAnsi="Times New Roman" w:cs="Times New Roman"/>
          <w:bCs/>
          <w:sz w:val="24"/>
          <w:szCs w:val="24"/>
          <w:lang w:eastAsia="en-GB"/>
        </w:rPr>
        <w:t>building</w:t>
      </w:r>
      <w:r w:rsidR="00757281">
        <w:rPr>
          <w:rFonts w:ascii="Times New Roman" w:hAnsi="Times New Roman" w:cs="Times New Roman"/>
          <w:sz w:val="24"/>
          <w:szCs w:val="24"/>
          <w:lang w:eastAsia="en-GB"/>
        </w:rPr>
        <w:t xml:space="preserve"> </w:t>
      </w:r>
      <w:r w:rsidR="004E0453">
        <w:rPr>
          <w:rFonts w:ascii="Times New Roman" w:hAnsi="Times New Roman" w:cs="Times New Roman"/>
          <w:sz w:val="24"/>
          <w:szCs w:val="24"/>
          <w:lang w:eastAsia="en-GB"/>
        </w:rPr>
        <w:t>confidence. The EU ATT O</w:t>
      </w:r>
      <w:r w:rsidRPr="00B44E90">
        <w:rPr>
          <w:rFonts w:ascii="Times New Roman" w:hAnsi="Times New Roman" w:cs="Times New Roman"/>
          <w:sz w:val="24"/>
          <w:szCs w:val="24"/>
          <w:lang w:eastAsia="en-GB"/>
        </w:rPr>
        <w:t xml:space="preserve">utreach </w:t>
      </w:r>
      <w:r w:rsidR="00757281" w:rsidRPr="007A1B12">
        <w:rPr>
          <w:rFonts w:ascii="Times New Roman" w:hAnsi="Times New Roman" w:cs="Times New Roman"/>
          <w:bCs/>
          <w:sz w:val="24"/>
          <w:szCs w:val="24"/>
          <w:lang w:eastAsia="en-GB"/>
        </w:rPr>
        <w:t>experience</w:t>
      </w:r>
      <w:r w:rsidR="00757281" w:rsidRPr="00757281">
        <w:rPr>
          <w:rFonts w:ascii="Times New Roman" w:hAnsi="Times New Roman" w:cs="Times New Roman"/>
          <w:b/>
          <w:sz w:val="24"/>
          <w:szCs w:val="24"/>
          <w:lang w:eastAsia="en-GB"/>
        </w:rPr>
        <w:t xml:space="preserve"> </w:t>
      </w:r>
      <w:r w:rsidRPr="00B44E90">
        <w:rPr>
          <w:rFonts w:ascii="Times New Roman" w:hAnsi="Times New Roman" w:cs="Times New Roman"/>
          <w:sz w:val="24"/>
          <w:szCs w:val="24"/>
          <w:lang w:eastAsia="en-GB"/>
        </w:rPr>
        <w:t xml:space="preserve">reveals that the adoption of national control lists has also been a significant, often time-consuming step in domestication of the ATT </w:t>
      </w:r>
      <w:r w:rsidR="004E0453">
        <w:rPr>
          <w:rFonts w:ascii="Times New Roman" w:hAnsi="Times New Roman" w:cs="Times New Roman"/>
          <w:sz w:val="24"/>
          <w:szCs w:val="24"/>
          <w:lang w:eastAsia="en-GB"/>
        </w:rPr>
        <w:t>during</w:t>
      </w:r>
      <w:r w:rsidRPr="00B44E90">
        <w:rPr>
          <w:rFonts w:ascii="Times New Roman" w:hAnsi="Times New Roman" w:cs="Times New Roman"/>
          <w:sz w:val="24"/>
          <w:szCs w:val="24"/>
          <w:lang w:eastAsia="en-GB"/>
        </w:rPr>
        <w:t xml:space="preserve"> preparations for joining the Treaty. Therefore</w:t>
      </w:r>
      <w:r w:rsidR="004E0453">
        <w:rPr>
          <w:rFonts w:ascii="Times New Roman" w:hAnsi="Times New Roman" w:cs="Times New Roman"/>
          <w:sz w:val="24"/>
          <w:szCs w:val="24"/>
          <w:lang w:eastAsia="en-GB"/>
        </w:rPr>
        <w:t>,</w:t>
      </w:r>
      <w:r w:rsidRPr="00B44E90">
        <w:rPr>
          <w:rFonts w:ascii="Times New Roman" w:hAnsi="Times New Roman" w:cs="Times New Roman"/>
          <w:sz w:val="24"/>
          <w:szCs w:val="24"/>
          <w:lang w:eastAsia="en-GB"/>
        </w:rPr>
        <w:t xml:space="preserve"> the EU would like to propose exploring, within the ATT process, the possibilities of promoting the adoption of uniform or coherent control lists, especially among actual or prospective States Parties who still do not have them, with particular focus on regional coherence. </w:t>
      </w:r>
      <w:r w:rsidR="00757281" w:rsidRPr="007A1B12">
        <w:rPr>
          <w:rFonts w:ascii="Times New Roman" w:hAnsi="Times New Roman" w:cs="Times New Roman"/>
          <w:bCs/>
          <w:sz w:val="24"/>
          <w:szCs w:val="24"/>
          <w:lang w:eastAsia="en-GB"/>
        </w:rPr>
        <w:t>The</w:t>
      </w:r>
      <w:r w:rsidR="00757281" w:rsidRPr="00757281">
        <w:rPr>
          <w:rFonts w:ascii="Times New Roman" w:hAnsi="Times New Roman" w:cs="Times New Roman"/>
          <w:sz w:val="24"/>
          <w:szCs w:val="24"/>
          <w:lang w:eastAsia="en-GB"/>
        </w:rPr>
        <w:t xml:space="preserve"> </w:t>
      </w:r>
      <w:r w:rsidR="004E0453" w:rsidRPr="00B44E90">
        <w:rPr>
          <w:rFonts w:ascii="Times New Roman" w:hAnsi="Times New Roman" w:cs="Times New Roman"/>
          <w:sz w:val="24"/>
          <w:szCs w:val="24"/>
          <w:lang w:eastAsia="en-GB"/>
        </w:rPr>
        <w:t>Wassenaar Arra</w:t>
      </w:r>
      <w:r w:rsidR="004E0453">
        <w:rPr>
          <w:rFonts w:ascii="Times New Roman" w:hAnsi="Times New Roman" w:cs="Times New Roman"/>
          <w:sz w:val="24"/>
          <w:szCs w:val="24"/>
          <w:lang w:eastAsia="en-GB"/>
        </w:rPr>
        <w:t>ngement’s Munitions List</w:t>
      </w:r>
      <w:r w:rsidRPr="00B44E90">
        <w:rPr>
          <w:rFonts w:ascii="Times New Roman" w:hAnsi="Times New Roman" w:cs="Times New Roman"/>
          <w:sz w:val="24"/>
          <w:szCs w:val="24"/>
          <w:lang w:eastAsia="en-GB"/>
        </w:rPr>
        <w:t>, based on objective criteria, and itself being a widespread standard, could be a valuable point of departure.</w:t>
      </w:r>
    </w:p>
    <w:p w14:paraId="392A7156" w14:textId="560F8877" w:rsidR="00B44E90" w:rsidRPr="00B43F14" w:rsidRDefault="00B44E90" w:rsidP="00B44E90">
      <w:pPr>
        <w:autoSpaceDE w:val="0"/>
        <w:autoSpaceDN w:val="0"/>
        <w:adjustRightInd w:val="0"/>
        <w:spacing w:after="120" w:line="259" w:lineRule="auto"/>
        <w:jc w:val="both"/>
        <w:rPr>
          <w:rFonts w:ascii="Times New Roman" w:hAnsi="Times New Roman" w:cs="Times New Roman"/>
          <w:sz w:val="24"/>
          <w:szCs w:val="24"/>
          <w:lang w:eastAsia="en-GB"/>
        </w:rPr>
      </w:pPr>
    </w:p>
    <w:p w14:paraId="3B1DC7B2" w14:textId="471C1FE9" w:rsidR="008E48FD" w:rsidRPr="00056343" w:rsidRDefault="008E48FD" w:rsidP="00056343">
      <w:pPr>
        <w:spacing w:after="120"/>
        <w:jc w:val="center"/>
        <w:rPr>
          <w:rFonts w:ascii="Times New Roman" w:hAnsi="Times New Roman" w:cs="Times New Roman"/>
          <w:b/>
          <w:bCs/>
          <w:sz w:val="24"/>
          <w:szCs w:val="24"/>
        </w:rPr>
      </w:pPr>
      <w:r w:rsidRPr="00056343">
        <w:rPr>
          <w:rFonts w:ascii="Times New Roman" w:hAnsi="Times New Roman" w:cs="Times New Roman"/>
          <w:b/>
          <w:bCs/>
          <w:sz w:val="24"/>
          <w:szCs w:val="24"/>
        </w:rPr>
        <w:t>Sub-working Group on Current and Emerging Implementation Issues</w:t>
      </w:r>
    </w:p>
    <w:p w14:paraId="4DDD05A4" w14:textId="555FAABB" w:rsidR="00686E62" w:rsidRPr="00E33AF2" w:rsidRDefault="00686E62" w:rsidP="00E33AF2">
      <w:pPr>
        <w:spacing w:after="120" w:line="259" w:lineRule="auto"/>
        <w:jc w:val="both"/>
        <w:rPr>
          <w:rFonts w:ascii="Times New Roman" w:hAnsi="Times New Roman" w:cs="Times New Roman"/>
          <w:sz w:val="24"/>
          <w:szCs w:val="24"/>
        </w:rPr>
      </w:pPr>
      <w:r w:rsidRPr="00E33AF2">
        <w:rPr>
          <w:rFonts w:ascii="Times New Roman" w:hAnsi="Times New Roman" w:cs="Times New Roman"/>
          <w:sz w:val="24"/>
          <w:szCs w:val="24"/>
        </w:rPr>
        <w:t>The EU thanks Mr. Robinson of Ireland for assuming the role of facilitator in this sub-working group, and commends the decision to involve also industry actors in the discussion. We are pleased to see the ASD responding to the call and sharing experience of European industry.</w:t>
      </w:r>
    </w:p>
    <w:p w14:paraId="332E36C7" w14:textId="1BBC9BF7" w:rsidR="00686E62" w:rsidRPr="00686E62" w:rsidRDefault="00686E62" w:rsidP="00E33AF2">
      <w:pPr>
        <w:spacing w:after="120" w:line="259" w:lineRule="auto"/>
        <w:jc w:val="both"/>
        <w:rPr>
          <w:rFonts w:ascii="Times New Roman" w:hAnsi="Times New Roman" w:cs="Times New Roman"/>
          <w:sz w:val="24"/>
          <w:szCs w:val="24"/>
        </w:rPr>
      </w:pPr>
      <w:r w:rsidRPr="00686E62">
        <w:rPr>
          <w:rFonts w:ascii="Times New Roman" w:hAnsi="Times New Roman" w:cs="Times New Roman"/>
          <w:sz w:val="24"/>
          <w:szCs w:val="24"/>
        </w:rPr>
        <w:t xml:space="preserve">The EU recognizes the vital role of industry in </w:t>
      </w:r>
      <w:r w:rsidR="000A09D9" w:rsidRPr="007A1B12">
        <w:rPr>
          <w:rFonts w:ascii="Times New Roman" w:hAnsi="Times New Roman" w:cs="Times New Roman"/>
          <w:bCs/>
          <w:sz w:val="24"/>
          <w:szCs w:val="24"/>
        </w:rPr>
        <w:t>ensuring</w:t>
      </w:r>
      <w:r w:rsidR="000A09D9">
        <w:rPr>
          <w:rFonts w:ascii="Times New Roman" w:hAnsi="Times New Roman" w:cs="Times New Roman"/>
          <w:sz w:val="24"/>
          <w:szCs w:val="24"/>
        </w:rPr>
        <w:t xml:space="preserve"> </w:t>
      </w:r>
      <w:r w:rsidRPr="00686E62">
        <w:rPr>
          <w:rFonts w:ascii="Times New Roman" w:hAnsi="Times New Roman" w:cs="Times New Roman"/>
          <w:sz w:val="24"/>
          <w:szCs w:val="24"/>
        </w:rPr>
        <w:t>responsible trade in arms, including its contribution to information gat</w:t>
      </w:r>
      <w:r w:rsidR="002A392A">
        <w:rPr>
          <w:rFonts w:ascii="Times New Roman" w:hAnsi="Times New Roman" w:cs="Times New Roman"/>
          <w:sz w:val="24"/>
          <w:szCs w:val="24"/>
        </w:rPr>
        <w:t>hering about destinations, its</w:t>
      </w:r>
      <w:r w:rsidRPr="00686E62">
        <w:rPr>
          <w:rFonts w:ascii="Times New Roman" w:hAnsi="Times New Roman" w:cs="Times New Roman"/>
          <w:sz w:val="24"/>
          <w:szCs w:val="24"/>
        </w:rPr>
        <w:t xml:space="preserve"> risk assessment distinct from that p</w:t>
      </w:r>
      <w:r w:rsidR="004E0453">
        <w:rPr>
          <w:rFonts w:ascii="Times New Roman" w:hAnsi="Times New Roman" w:cs="Times New Roman"/>
          <w:sz w:val="24"/>
          <w:szCs w:val="24"/>
        </w:rPr>
        <w:t>erformed by S</w:t>
      </w:r>
      <w:r w:rsidRPr="00686E62">
        <w:rPr>
          <w:rFonts w:ascii="Times New Roman" w:hAnsi="Times New Roman" w:cs="Times New Roman"/>
          <w:sz w:val="24"/>
          <w:szCs w:val="24"/>
        </w:rPr>
        <w:t xml:space="preserve">tates, and post-delivery cooperation with end users. Therefore, the EU and its Member States encourage due diligence standards and practices by industry, </w:t>
      </w:r>
      <w:r w:rsidRPr="00E145AF">
        <w:rPr>
          <w:rFonts w:ascii="Times New Roman" w:hAnsi="Times New Roman" w:cs="Times New Roman"/>
          <w:sz w:val="24"/>
          <w:szCs w:val="24"/>
        </w:rPr>
        <w:t>supplement</w:t>
      </w:r>
      <w:r w:rsidR="000A09D9" w:rsidRPr="00E145AF">
        <w:rPr>
          <w:rFonts w:ascii="Times New Roman" w:hAnsi="Times New Roman" w:cs="Times New Roman"/>
          <w:sz w:val="24"/>
          <w:szCs w:val="24"/>
        </w:rPr>
        <w:t>ing</w:t>
      </w:r>
      <w:r w:rsidRPr="00686E62">
        <w:rPr>
          <w:rFonts w:ascii="Times New Roman" w:hAnsi="Times New Roman" w:cs="Times New Roman"/>
          <w:sz w:val="24"/>
          <w:szCs w:val="24"/>
        </w:rPr>
        <w:t xml:space="preserve"> risk assessment by governments </w:t>
      </w:r>
      <w:r w:rsidR="000A09D9" w:rsidRPr="00E145AF">
        <w:rPr>
          <w:rFonts w:ascii="Times New Roman" w:hAnsi="Times New Roman" w:cs="Times New Roman"/>
          <w:bCs/>
          <w:sz w:val="24"/>
          <w:szCs w:val="24"/>
        </w:rPr>
        <w:t>that</w:t>
      </w:r>
      <w:r w:rsidR="000A09D9" w:rsidRPr="000A09D9">
        <w:rPr>
          <w:rFonts w:ascii="Times New Roman" w:hAnsi="Times New Roman" w:cs="Times New Roman"/>
          <w:sz w:val="24"/>
          <w:szCs w:val="24"/>
        </w:rPr>
        <w:t xml:space="preserve"> </w:t>
      </w:r>
      <w:r w:rsidRPr="00686E62">
        <w:rPr>
          <w:rFonts w:ascii="Times New Roman" w:hAnsi="Times New Roman" w:cs="Times New Roman"/>
          <w:sz w:val="24"/>
          <w:szCs w:val="24"/>
        </w:rPr>
        <w:t>retain responsibility for licensing decisions.</w:t>
      </w:r>
    </w:p>
    <w:p w14:paraId="0EF82DBD" w14:textId="17078D8C" w:rsidR="00686E62" w:rsidRPr="00686E62" w:rsidRDefault="002A392A" w:rsidP="00E33AF2">
      <w:pPr>
        <w:spacing w:after="120" w:line="259" w:lineRule="auto"/>
        <w:jc w:val="both"/>
        <w:rPr>
          <w:rFonts w:ascii="Times New Roman" w:hAnsi="Times New Roman" w:cs="Times New Roman"/>
          <w:sz w:val="24"/>
          <w:szCs w:val="24"/>
        </w:rPr>
      </w:pPr>
      <w:r>
        <w:rPr>
          <w:rFonts w:ascii="Times New Roman" w:hAnsi="Times New Roman" w:cs="Times New Roman"/>
          <w:sz w:val="24"/>
          <w:szCs w:val="24"/>
        </w:rPr>
        <w:t>While</w:t>
      </w:r>
      <w:r w:rsidR="00686E62" w:rsidRPr="00686E62">
        <w:rPr>
          <w:rFonts w:ascii="Times New Roman" w:hAnsi="Times New Roman" w:cs="Times New Roman"/>
          <w:sz w:val="24"/>
          <w:szCs w:val="24"/>
        </w:rPr>
        <w:t xml:space="preserve"> EU law, due to the nature of </w:t>
      </w:r>
      <w:r>
        <w:rPr>
          <w:rFonts w:ascii="Times New Roman" w:hAnsi="Times New Roman" w:cs="Times New Roman"/>
          <w:sz w:val="24"/>
          <w:szCs w:val="24"/>
        </w:rPr>
        <w:t xml:space="preserve">the </w:t>
      </w:r>
      <w:r w:rsidR="00686E62" w:rsidRPr="00686E62">
        <w:rPr>
          <w:rFonts w:ascii="Times New Roman" w:hAnsi="Times New Roman" w:cs="Times New Roman"/>
          <w:sz w:val="24"/>
          <w:szCs w:val="24"/>
        </w:rPr>
        <w:t xml:space="preserve">EU arms export control legal framework, does not set requirements for due diligence in arms transfers for entities other than </w:t>
      </w:r>
      <w:r w:rsidR="002C678A">
        <w:rPr>
          <w:rFonts w:ascii="Times New Roman" w:hAnsi="Times New Roman" w:cs="Times New Roman"/>
          <w:sz w:val="24"/>
          <w:szCs w:val="24"/>
        </w:rPr>
        <w:t xml:space="preserve">EU </w:t>
      </w:r>
      <w:r w:rsidR="00686E62" w:rsidRPr="00686E62">
        <w:rPr>
          <w:rFonts w:ascii="Times New Roman" w:hAnsi="Times New Roman" w:cs="Times New Roman"/>
          <w:sz w:val="24"/>
          <w:szCs w:val="24"/>
        </w:rPr>
        <w:t>Member States, the EU legal acts establishing criteria for arms export licensing and methodology to be followed by licensing officers in governments</w:t>
      </w:r>
      <w:r w:rsidR="002C678A">
        <w:rPr>
          <w:rFonts w:ascii="Times New Roman" w:hAnsi="Times New Roman" w:cs="Times New Roman"/>
          <w:sz w:val="24"/>
          <w:szCs w:val="24"/>
        </w:rPr>
        <w:t>,</w:t>
      </w:r>
      <w:r w:rsidR="00686E62" w:rsidRPr="00686E62">
        <w:rPr>
          <w:rFonts w:ascii="Times New Roman" w:hAnsi="Times New Roman" w:cs="Times New Roman"/>
          <w:sz w:val="24"/>
          <w:szCs w:val="24"/>
        </w:rPr>
        <w:t xml:space="preserve"> are publicly accessible. </w:t>
      </w:r>
      <w:r w:rsidR="00686E62" w:rsidRPr="00686E62">
        <w:rPr>
          <w:rFonts w:ascii="Times New Roman" w:hAnsi="Times New Roman" w:cs="Times New Roman"/>
          <w:bCs/>
          <w:sz w:val="24"/>
          <w:szCs w:val="24"/>
        </w:rPr>
        <w:t xml:space="preserve">We want to underline especially the value of public User’s Guide to the EU </w:t>
      </w:r>
      <w:r w:rsidR="00686E62" w:rsidRPr="00686E62">
        <w:rPr>
          <w:rFonts w:ascii="Times New Roman" w:hAnsi="Times New Roman" w:cs="Times New Roman"/>
          <w:sz w:val="24"/>
          <w:szCs w:val="24"/>
        </w:rPr>
        <w:t xml:space="preserve">Council Common Position 2008/944/CFSP defining common rules governing the control of exports of military technology and equipment. The User’s Guide intended </w:t>
      </w:r>
      <w:r w:rsidR="000A09D9" w:rsidRPr="00E145AF">
        <w:rPr>
          <w:rFonts w:ascii="Times New Roman" w:hAnsi="Times New Roman" w:cs="Times New Roman"/>
          <w:bCs/>
          <w:sz w:val="24"/>
          <w:szCs w:val="24"/>
        </w:rPr>
        <w:t>primarily</w:t>
      </w:r>
      <w:r w:rsidR="000A09D9" w:rsidRPr="00686E62">
        <w:rPr>
          <w:rFonts w:ascii="Times New Roman" w:hAnsi="Times New Roman" w:cs="Times New Roman"/>
          <w:sz w:val="24"/>
          <w:szCs w:val="24"/>
        </w:rPr>
        <w:t xml:space="preserve"> </w:t>
      </w:r>
      <w:r w:rsidR="00686E62" w:rsidRPr="00686E62">
        <w:rPr>
          <w:rFonts w:ascii="Times New Roman" w:hAnsi="Times New Roman" w:cs="Times New Roman"/>
          <w:sz w:val="24"/>
          <w:szCs w:val="24"/>
        </w:rPr>
        <w:t>for use by export licensing officials, is also relevant</w:t>
      </w:r>
      <w:r w:rsidR="000A09D9" w:rsidRPr="00E145AF">
        <w:rPr>
          <w:rFonts w:ascii="Times New Roman" w:hAnsi="Times New Roman" w:cs="Times New Roman"/>
          <w:bCs/>
          <w:sz w:val="24"/>
          <w:szCs w:val="24"/>
        </w:rPr>
        <w:t>, as a public document,</w:t>
      </w:r>
      <w:r w:rsidR="00686E62" w:rsidRPr="000A09D9">
        <w:rPr>
          <w:rFonts w:ascii="Times New Roman" w:hAnsi="Times New Roman" w:cs="Times New Roman"/>
          <w:sz w:val="24"/>
          <w:szCs w:val="24"/>
        </w:rPr>
        <w:t xml:space="preserve"> </w:t>
      </w:r>
      <w:r w:rsidR="00686E62" w:rsidRPr="00686E62">
        <w:rPr>
          <w:rFonts w:ascii="Times New Roman" w:hAnsi="Times New Roman" w:cs="Times New Roman"/>
          <w:sz w:val="24"/>
          <w:szCs w:val="24"/>
        </w:rPr>
        <w:t xml:space="preserve">for raising predictability of governmental decisions to all actors concerned, and for performing their own risk assessment in order to avoid the submission of license applications that are likely to be denied. </w:t>
      </w:r>
      <w:r w:rsidR="000A09D9" w:rsidRPr="00E145AF">
        <w:rPr>
          <w:rFonts w:ascii="Times New Roman" w:hAnsi="Times New Roman" w:cs="Times New Roman"/>
          <w:bCs/>
          <w:sz w:val="24"/>
          <w:szCs w:val="24"/>
        </w:rPr>
        <w:t>This proactive</w:t>
      </w:r>
      <w:r w:rsidR="000A09D9">
        <w:rPr>
          <w:rFonts w:ascii="Times New Roman" w:hAnsi="Times New Roman" w:cs="Times New Roman"/>
          <w:sz w:val="24"/>
          <w:szCs w:val="24"/>
        </w:rPr>
        <w:t xml:space="preserve"> </w:t>
      </w:r>
      <w:r w:rsidR="00686E62" w:rsidRPr="00686E62">
        <w:rPr>
          <w:rFonts w:ascii="Times New Roman" w:hAnsi="Times New Roman" w:cs="Times New Roman"/>
          <w:sz w:val="24"/>
          <w:szCs w:val="24"/>
        </w:rPr>
        <w:t xml:space="preserve">approach </w:t>
      </w:r>
      <w:r w:rsidR="000A09D9" w:rsidRPr="00E145AF">
        <w:rPr>
          <w:rFonts w:ascii="Times New Roman" w:hAnsi="Times New Roman" w:cs="Times New Roman"/>
          <w:bCs/>
          <w:sz w:val="24"/>
          <w:szCs w:val="24"/>
        </w:rPr>
        <w:t>from</w:t>
      </w:r>
      <w:r w:rsidR="000A09D9" w:rsidRPr="000A09D9">
        <w:rPr>
          <w:rFonts w:ascii="Times New Roman" w:hAnsi="Times New Roman" w:cs="Times New Roman"/>
          <w:b/>
          <w:sz w:val="24"/>
          <w:szCs w:val="24"/>
        </w:rPr>
        <w:t xml:space="preserve"> </w:t>
      </w:r>
      <w:r w:rsidR="00686E62" w:rsidRPr="00686E62">
        <w:rPr>
          <w:rFonts w:ascii="Times New Roman" w:hAnsi="Times New Roman" w:cs="Times New Roman"/>
          <w:sz w:val="24"/>
          <w:szCs w:val="24"/>
        </w:rPr>
        <w:t>non-governmental stakeholders in</w:t>
      </w:r>
      <w:r w:rsidR="00686E62" w:rsidRPr="000A09D9">
        <w:rPr>
          <w:rFonts w:ascii="Times New Roman" w:hAnsi="Times New Roman" w:cs="Times New Roman"/>
          <w:b/>
          <w:sz w:val="24"/>
          <w:szCs w:val="24"/>
        </w:rPr>
        <w:t xml:space="preserve"> </w:t>
      </w:r>
      <w:r w:rsidR="000A09D9" w:rsidRPr="00E145AF">
        <w:rPr>
          <w:rFonts w:ascii="Times New Roman" w:hAnsi="Times New Roman" w:cs="Times New Roman"/>
          <w:bCs/>
          <w:sz w:val="24"/>
          <w:szCs w:val="24"/>
        </w:rPr>
        <w:t>the</w:t>
      </w:r>
      <w:r w:rsidR="000A09D9">
        <w:rPr>
          <w:rFonts w:ascii="Times New Roman" w:hAnsi="Times New Roman" w:cs="Times New Roman"/>
          <w:sz w:val="24"/>
          <w:szCs w:val="24"/>
        </w:rPr>
        <w:t xml:space="preserve"> </w:t>
      </w:r>
      <w:r w:rsidR="00686E62" w:rsidRPr="00686E62">
        <w:rPr>
          <w:rFonts w:ascii="Times New Roman" w:hAnsi="Times New Roman" w:cs="Times New Roman"/>
          <w:sz w:val="24"/>
          <w:szCs w:val="24"/>
        </w:rPr>
        <w:t xml:space="preserve">arms trade is one of </w:t>
      </w:r>
      <w:r w:rsidR="000A09D9" w:rsidRPr="00E145AF">
        <w:rPr>
          <w:rFonts w:ascii="Times New Roman" w:hAnsi="Times New Roman" w:cs="Times New Roman"/>
          <w:bCs/>
          <w:sz w:val="24"/>
          <w:szCs w:val="24"/>
        </w:rPr>
        <w:t>the</w:t>
      </w:r>
      <w:r w:rsidR="000A09D9" w:rsidRPr="000A09D9">
        <w:rPr>
          <w:rFonts w:ascii="Times New Roman" w:hAnsi="Times New Roman" w:cs="Times New Roman"/>
          <w:b/>
          <w:sz w:val="24"/>
          <w:szCs w:val="24"/>
        </w:rPr>
        <w:t xml:space="preserve"> </w:t>
      </w:r>
      <w:r w:rsidR="00686E62" w:rsidRPr="00686E62">
        <w:rPr>
          <w:rFonts w:ascii="Times New Roman" w:hAnsi="Times New Roman" w:cs="Times New Roman"/>
          <w:sz w:val="24"/>
          <w:szCs w:val="24"/>
        </w:rPr>
        <w:t xml:space="preserve">factors contributing to </w:t>
      </w:r>
      <w:r w:rsidR="000A09D9" w:rsidRPr="00E145AF">
        <w:rPr>
          <w:rFonts w:ascii="Times New Roman" w:hAnsi="Times New Roman" w:cs="Times New Roman"/>
          <w:bCs/>
          <w:sz w:val="24"/>
          <w:szCs w:val="24"/>
        </w:rPr>
        <w:t>the</w:t>
      </w:r>
      <w:r w:rsidR="00E145AF">
        <w:rPr>
          <w:rFonts w:ascii="Times New Roman" w:hAnsi="Times New Roman" w:cs="Times New Roman"/>
          <w:sz w:val="24"/>
          <w:szCs w:val="24"/>
        </w:rPr>
        <w:t xml:space="preserve"> </w:t>
      </w:r>
      <w:r w:rsidR="00686E62" w:rsidRPr="00686E62">
        <w:rPr>
          <w:rFonts w:ascii="Times New Roman" w:hAnsi="Times New Roman" w:cs="Times New Roman"/>
          <w:sz w:val="24"/>
          <w:szCs w:val="24"/>
        </w:rPr>
        <w:t>low percentage of arms export license denials in the EU, and reduces administrative burden on governmental licensing officers.</w:t>
      </w:r>
    </w:p>
    <w:p w14:paraId="61FF5D09" w14:textId="5065E195" w:rsidR="00686E62" w:rsidRPr="00686E62" w:rsidRDefault="00686E62" w:rsidP="00E33AF2">
      <w:pPr>
        <w:spacing w:after="120" w:line="259" w:lineRule="auto"/>
        <w:jc w:val="both"/>
        <w:rPr>
          <w:rFonts w:ascii="Times New Roman" w:hAnsi="Times New Roman" w:cs="Times New Roman"/>
          <w:sz w:val="24"/>
          <w:szCs w:val="24"/>
        </w:rPr>
      </w:pPr>
      <w:r w:rsidRPr="00686E62">
        <w:rPr>
          <w:rFonts w:ascii="Times New Roman" w:hAnsi="Times New Roman" w:cs="Times New Roman"/>
          <w:sz w:val="24"/>
          <w:szCs w:val="24"/>
        </w:rPr>
        <w:lastRenderedPageBreak/>
        <w:t xml:space="preserve">Likewise, the EU is working to raise awareness </w:t>
      </w:r>
      <w:r w:rsidR="000A09D9" w:rsidRPr="00E145AF">
        <w:rPr>
          <w:rFonts w:ascii="Times New Roman" w:hAnsi="Times New Roman" w:cs="Times New Roman"/>
          <w:bCs/>
          <w:sz w:val="24"/>
          <w:szCs w:val="24"/>
        </w:rPr>
        <w:t>with</w:t>
      </w:r>
      <w:r w:rsidR="000A09D9" w:rsidRPr="000A09D9">
        <w:rPr>
          <w:rFonts w:ascii="Times New Roman" w:hAnsi="Times New Roman" w:cs="Times New Roman"/>
          <w:b/>
          <w:sz w:val="24"/>
          <w:szCs w:val="24"/>
        </w:rPr>
        <w:t xml:space="preserve"> </w:t>
      </w:r>
      <w:r w:rsidRPr="00686E62">
        <w:rPr>
          <w:rFonts w:ascii="Times New Roman" w:hAnsi="Times New Roman" w:cs="Times New Roman"/>
          <w:sz w:val="24"/>
          <w:szCs w:val="24"/>
        </w:rPr>
        <w:t xml:space="preserve">industrial actors </w:t>
      </w:r>
      <w:r w:rsidR="000A09D9" w:rsidRPr="00E145AF">
        <w:rPr>
          <w:rFonts w:ascii="Times New Roman" w:hAnsi="Times New Roman" w:cs="Times New Roman"/>
          <w:bCs/>
          <w:sz w:val="24"/>
          <w:szCs w:val="24"/>
        </w:rPr>
        <w:t>regarding</w:t>
      </w:r>
      <w:r w:rsidR="000A09D9" w:rsidRPr="000A09D9">
        <w:rPr>
          <w:rFonts w:ascii="Times New Roman" w:hAnsi="Times New Roman" w:cs="Times New Roman"/>
          <w:sz w:val="24"/>
          <w:szCs w:val="24"/>
        </w:rPr>
        <w:t xml:space="preserve"> </w:t>
      </w:r>
      <w:r w:rsidRPr="00686E62">
        <w:rPr>
          <w:rFonts w:ascii="Times New Roman" w:hAnsi="Times New Roman" w:cs="Times New Roman"/>
          <w:sz w:val="24"/>
          <w:szCs w:val="24"/>
        </w:rPr>
        <w:t xml:space="preserve">arms export control laws and policies of </w:t>
      </w:r>
      <w:r w:rsidR="002C678A">
        <w:rPr>
          <w:rFonts w:ascii="Times New Roman" w:hAnsi="Times New Roman" w:cs="Times New Roman"/>
          <w:sz w:val="24"/>
          <w:szCs w:val="24"/>
        </w:rPr>
        <w:t xml:space="preserve">its </w:t>
      </w:r>
      <w:r w:rsidRPr="00686E62">
        <w:rPr>
          <w:rFonts w:ascii="Times New Roman" w:hAnsi="Times New Roman" w:cs="Times New Roman"/>
          <w:sz w:val="24"/>
          <w:szCs w:val="24"/>
        </w:rPr>
        <w:t>Member States, in order to provide reference for their own risk assessment and reassurance that governmental licensing decisions remain in compliance with applicable national and international law.</w:t>
      </w:r>
    </w:p>
    <w:p w14:paraId="1CA11703" w14:textId="0CEC4865" w:rsidR="00686E62" w:rsidRPr="00686E62" w:rsidRDefault="002C678A" w:rsidP="00E33AF2">
      <w:pPr>
        <w:spacing w:after="120" w:line="259" w:lineRule="auto"/>
        <w:jc w:val="both"/>
        <w:rPr>
          <w:rFonts w:ascii="Times New Roman" w:hAnsi="Times New Roman" w:cs="Times New Roman"/>
          <w:sz w:val="24"/>
          <w:szCs w:val="24"/>
        </w:rPr>
      </w:pPr>
      <w:r>
        <w:rPr>
          <w:rFonts w:ascii="Times New Roman" w:hAnsi="Times New Roman" w:cs="Times New Roman"/>
          <w:sz w:val="24"/>
          <w:szCs w:val="24"/>
        </w:rPr>
        <w:t>We encourage this sub-working g</w:t>
      </w:r>
      <w:r w:rsidR="00686E62" w:rsidRPr="00686E62">
        <w:rPr>
          <w:rFonts w:ascii="Times New Roman" w:hAnsi="Times New Roman" w:cs="Times New Roman"/>
          <w:sz w:val="24"/>
          <w:szCs w:val="24"/>
        </w:rPr>
        <w:t xml:space="preserve">roup to continue work on the list of reference documents, and we recognize the </w:t>
      </w:r>
      <w:r w:rsidR="000A09D9" w:rsidRPr="00E145AF">
        <w:rPr>
          <w:rFonts w:ascii="Times New Roman" w:hAnsi="Times New Roman" w:cs="Times New Roman"/>
          <w:bCs/>
          <w:sz w:val="24"/>
          <w:szCs w:val="24"/>
        </w:rPr>
        <w:t>value</w:t>
      </w:r>
      <w:r w:rsidR="00686E62" w:rsidRPr="00686E62">
        <w:rPr>
          <w:rFonts w:ascii="Times New Roman" w:hAnsi="Times New Roman" w:cs="Times New Roman"/>
          <w:sz w:val="24"/>
          <w:szCs w:val="24"/>
        </w:rPr>
        <w:t xml:space="preserve"> of developing a voluntary document </w:t>
      </w:r>
      <w:r w:rsidR="00686E62" w:rsidRPr="00E145AF">
        <w:rPr>
          <w:rFonts w:ascii="Times New Roman" w:hAnsi="Times New Roman" w:cs="Times New Roman"/>
          <w:sz w:val="24"/>
          <w:szCs w:val="24"/>
        </w:rPr>
        <w:t>link</w:t>
      </w:r>
      <w:r w:rsidR="00CC6E76" w:rsidRPr="00E145AF">
        <w:rPr>
          <w:rFonts w:ascii="Times New Roman" w:hAnsi="Times New Roman" w:cs="Times New Roman"/>
          <w:sz w:val="24"/>
          <w:szCs w:val="24"/>
        </w:rPr>
        <w:t>ing</w:t>
      </w:r>
      <w:r w:rsidR="00686E62" w:rsidRPr="00E145AF">
        <w:rPr>
          <w:rFonts w:ascii="Times New Roman" w:hAnsi="Times New Roman" w:cs="Times New Roman"/>
          <w:sz w:val="24"/>
          <w:szCs w:val="24"/>
        </w:rPr>
        <w:t xml:space="preserve"> </w:t>
      </w:r>
      <w:r w:rsidR="00CC6E76" w:rsidRPr="00E145AF">
        <w:rPr>
          <w:rFonts w:ascii="Times New Roman" w:hAnsi="Times New Roman" w:cs="Times New Roman"/>
          <w:sz w:val="24"/>
          <w:szCs w:val="24"/>
        </w:rPr>
        <w:t xml:space="preserve">human rights and International Humanitarian Law (IHL) </w:t>
      </w:r>
      <w:r w:rsidR="00686E62" w:rsidRPr="00686E62">
        <w:rPr>
          <w:rFonts w:ascii="Times New Roman" w:hAnsi="Times New Roman" w:cs="Times New Roman"/>
          <w:sz w:val="24"/>
          <w:szCs w:val="24"/>
        </w:rPr>
        <w:t>due diligence for industry</w:t>
      </w:r>
      <w:r w:rsidR="00686E62" w:rsidRPr="00931630">
        <w:rPr>
          <w:rFonts w:ascii="Times New Roman" w:hAnsi="Times New Roman" w:cs="Times New Roman"/>
          <w:bCs/>
          <w:sz w:val="24"/>
          <w:szCs w:val="24"/>
        </w:rPr>
        <w:t xml:space="preserve"> </w:t>
      </w:r>
      <w:r w:rsidR="00686E62" w:rsidRPr="00686E62">
        <w:rPr>
          <w:rFonts w:ascii="Times New Roman" w:hAnsi="Times New Roman" w:cs="Times New Roman"/>
          <w:sz w:val="24"/>
          <w:szCs w:val="24"/>
        </w:rPr>
        <w:t xml:space="preserve">with ATT obligations. Such guidance would </w:t>
      </w:r>
      <w:r w:rsidR="00CC6E76" w:rsidRPr="00E145AF">
        <w:rPr>
          <w:rFonts w:ascii="Times New Roman" w:hAnsi="Times New Roman" w:cs="Times New Roman"/>
          <w:bCs/>
          <w:sz w:val="24"/>
          <w:szCs w:val="24"/>
        </w:rPr>
        <w:t>help</w:t>
      </w:r>
      <w:r w:rsidR="00CC6E76">
        <w:rPr>
          <w:rFonts w:ascii="Times New Roman" w:hAnsi="Times New Roman" w:cs="Times New Roman"/>
          <w:sz w:val="24"/>
          <w:szCs w:val="24"/>
        </w:rPr>
        <w:t xml:space="preserve"> </w:t>
      </w:r>
      <w:r w:rsidR="00686E62" w:rsidRPr="00686E62">
        <w:rPr>
          <w:rFonts w:ascii="Times New Roman" w:hAnsi="Times New Roman" w:cs="Times New Roman"/>
          <w:sz w:val="24"/>
          <w:szCs w:val="24"/>
        </w:rPr>
        <w:t xml:space="preserve">reinforce </w:t>
      </w:r>
      <w:r w:rsidR="00CC6E76" w:rsidRPr="00E145AF">
        <w:rPr>
          <w:rFonts w:ascii="Times New Roman" w:hAnsi="Times New Roman" w:cs="Times New Roman"/>
          <w:bCs/>
          <w:sz w:val="24"/>
          <w:szCs w:val="24"/>
        </w:rPr>
        <w:t>th</w:t>
      </w:r>
      <w:r w:rsidR="00E145AF">
        <w:rPr>
          <w:rFonts w:ascii="Times New Roman" w:hAnsi="Times New Roman" w:cs="Times New Roman"/>
          <w:sz w:val="24"/>
          <w:szCs w:val="24"/>
        </w:rPr>
        <w:t>e</w:t>
      </w:r>
      <w:r w:rsidR="00CC6E76">
        <w:rPr>
          <w:rFonts w:ascii="Times New Roman" w:hAnsi="Times New Roman" w:cs="Times New Roman"/>
          <w:sz w:val="24"/>
          <w:szCs w:val="24"/>
        </w:rPr>
        <w:t xml:space="preserve"> </w:t>
      </w:r>
      <w:r w:rsidR="00686E62" w:rsidRPr="00686E62">
        <w:rPr>
          <w:rFonts w:ascii="Times New Roman" w:hAnsi="Times New Roman" w:cs="Times New Roman"/>
          <w:sz w:val="24"/>
          <w:szCs w:val="24"/>
        </w:rPr>
        <w:t>application of criteria of the EU</w:t>
      </w:r>
      <w:r w:rsidR="00BA6ABD">
        <w:rPr>
          <w:rFonts w:ascii="Times New Roman" w:hAnsi="Times New Roman" w:cs="Times New Roman"/>
          <w:sz w:val="24"/>
          <w:szCs w:val="24"/>
        </w:rPr>
        <w:t xml:space="preserve"> Common Position on arms export</w:t>
      </w:r>
      <w:r w:rsidR="00686E62" w:rsidRPr="00686E62">
        <w:rPr>
          <w:rFonts w:ascii="Times New Roman" w:hAnsi="Times New Roman" w:cs="Times New Roman"/>
          <w:sz w:val="24"/>
          <w:szCs w:val="24"/>
        </w:rPr>
        <w:t xml:space="preserve"> related to human rights and IHL.</w:t>
      </w:r>
    </w:p>
    <w:p w14:paraId="078B457F" w14:textId="3A191B07" w:rsidR="0061573E" w:rsidRPr="00056343" w:rsidRDefault="0061573E" w:rsidP="00056343">
      <w:pPr>
        <w:spacing w:after="120" w:line="259" w:lineRule="auto"/>
        <w:jc w:val="both"/>
        <w:rPr>
          <w:rFonts w:ascii="Times New Roman" w:hAnsi="Times New Roman" w:cs="Times New Roman"/>
          <w:sz w:val="24"/>
          <w:szCs w:val="24"/>
        </w:rPr>
      </w:pPr>
    </w:p>
    <w:sectPr w:rsidR="0061573E" w:rsidRPr="00056343" w:rsidSect="00861C3E">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EE9BC" w14:textId="77777777" w:rsidR="00857232" w:rsidRDefault="00857232" w:rsidP="00D1114B">
      <w:r>
        <w:separator/>
      </w:r>
    </w:p>
  </w:endnote>
  <w:endnote w:type="continuationSeparator" w:id="0">
    <w:p w14:paraId="67555EFA" w14:textId="77777777" w:rsidR="00857232" w:rsidRDefault="00857232" w:rsidP="00D1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76241"/>
      <w:docPartObj>
        <w:docPartGallery w:val="Page Numbers (Bottom of Page)"/>
        <w:docPartUnique/>
      </w:docPartObj>
    </w:sdtPr>
    <w:sdtEndPr>
      <w:rPr>
        <w:rFonts w:ascii="Times New Roman" w:hAnsi="Times New Roman" w:cs="Times New Roman"/>
        <w:noProof/>
      </w:rPr>
    </w:sdtEndPr>
    <w:sdtContent>
      <w:p w14:paraId="08C61E17" w14:textId="5B358ADF" w:rsidR="00D1114B" w:rsidRPr="00861C3E" w:rsidRDefault="00D1114B">
        <w:pPr>
          <w:pStyle w:val="Footer"/>
          <w:jc w:val="right"/>
          <w:rPr>
            <w:rFonts w:ascii="Times New Roman" w:hAnsi="Times New Roman" w:cs="Times New Roman"/>
          </w:rPr>
        </w:pPr>
        <w:r w:rsidRPr="00861C3E">
          <w:rPr>
            <w:rFonts w:ascii="Times New Roman" w:hAnsi="Times New Roman" w:cs="Times New Roman"/>
          </w:rPr>
          <w:fldChar w:fldCharType="begin"/>
        </w:r>
        <w:r w:rsidRPr="00861C3E">
          <w:rPr>
            <w:rFonts w:ascii="Times New Roman" w:hAnsi="Times New Roman" w:cs="Times New Roman"/>
          </w:rPr>
          <w:instrText xml:space="preserve"> PAGE   \* MERGEFORMAT </w:instrText>
        </w:r>
        <w:r w:rsidRPr="00861C3E">
          <w:rPr>
            <w:rFonts w:ascii="Times New Roman" w:hAnsi="Times New Roman" w:cs="Times New Roman"/>
          </w:rPr>
          <w:fldChar w:fldCharType="separate"/>
        </w:r>
        <w:r w:rsidR="00C84233">
          <w:rPr>
            <w:rFonts w:ascii="Times New Roman" w:hAnsi="Times New Roman" w:cs="Times New Roman"/>
            <w:noProof/>
          </w:rPr>
          <w:t>3</w:t>
        </w:r>
        <w:r w:rsidRPr="00861C3E">
          <w:rPr>
            <w:rFonts w:ascii="Times New Roman" w:hAnsi="Times New Roman" w:cs="Times New Roman"/>
            <w:noProof/>
          </w:rPr>
          <w:fldChar w:fldCharType="end"/>
        </w:r>
      </w:p>
    </w:sdtContent>
  </w:sdt>
  <w:p w14:paraId="337D0F94" w14:textId="77777777" w:rsidR="00D1114B" w:rsidRDefault="00D1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3D634" w14:textId="77777777" w:rsidR="00857232" w:rsidRDefault="00857232" w:rsidP="00D1114B">
      <w:r>
        <w:separator/>
      </w:r>
    </w:p>
  </w:footnote>
  <w:footnote w:type="continuationSeparator" w:id="0">
    <w:p w14:paraId="0B94009C" w14:textId="77777777" w:rsidR="00857232" w:rsidRDefault="00857232" w:rsidP="00D1114B">
      <w:r>
        <w:continuationSeparator/>
      </w:r>
    </w:p>
  </w:footnote>
  <w:footnote w:id="1">
    <w:p w14:paraId="4B1A6882" w14:textId="58AF7910" w:rsidR="00003122" w:rsidRPr="006446E4" w:rsidRDefault="00003122" w:rsidP="00003122">
      <w:pPr>
        <w:pStyle w:val="FootnoteText"/>
        <w:jc w:val="both"/>
        <w:rPr>
          <w:rFonts w:ascii="Times New Roman" w:hAnsi="Times New Roman" w:cs="Times New Roman"/>
          <w:lang w:val="en-US"/>
        </w:rPr>
      </w:pPr>
      <w:r w:rsidRPr="006446E4">
        <w:rPr>
          <w:rStyle w:val="FootnoteReference"/>
          <w:rFonts w:ascii="Times New Roman" w:hAnsi="Times New Roman" w:cs="Times New Roman"/>
        </w:rPr>
        <w:footnoteRef/>
      </w:r>
      <w:r w:rsidRPr="006446E4">
        <w:rPr>
          <w:rFonts w:ascii="Times New Roman" w:hAnsi="Times New Roman" w:cs="Times New Roman"/>
        </w:rPr>
        <w:t xml:space="preserve"> North Macedonia, Montenegro, </w:t>
      </w:r>
      <w:r w:rsidR="00E80673">
        <w:rPr>
          <w:rFonts w:ascii="Times New Roman" w:hAnsi="Times New Roman" w:cs="Times New Roman"/>
        </w:rPr>
        <w:t xml:space="preserve">Serbia, </w:t>
      </w:r>
      <w:r w:rsidRPr="006446E4">
        <w:rPr>
          <w:rFonts w:ascii="Times New Roman" w:hAnsi="Times New Roman" w:cs="Times New Roman"/>
        </w:rPr>
        <w:t>Albania and Bosnia and Herzegovina continue to be part of the Stabilisation and Association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557EEEDA" w14:paraId="30693FC2" w14:textId="77777777" w:rsidTr="557EEEDA">
      <w:tc>
        <w:tcPr>
          <w:tcW w:w="3009" w:type="dxa"/>
        </w:tcPr>
        <w:p w14:paraId="71C75556" w14:textId="627D1354" w:rsidR="557EEEDA" w:rsidRDefault="557EEEDA" w:rsidP="557EEEDA">
          <w:pPr>
            <w:pStyle w:val="Header"/>
            <w:ind w:left="-115"/>
          </w:pPr>
        </w:p>
      </w:tc>
      <w:tc>
        <w:tcPr>
          <w:tcW w:w="3009" w:type="dxa"/>
        </w:tcPr>
        <w:p w14:paraId="711566D9" w14:textId="15A72894" w:rsidR="557EEEDA" w:rsidRDefault="557EEEDA" w:rsidP="557EEEDA">
          <w:pPr>
            <w:pStyle w:val="Header"/>
            <w:jc w:val="center"/>
          </w:pPr>
        </w:p>
      </w:tc>
      <w:tc>
        <w:tcPr>
          <w:tcW w:w="3009" w:type="dxa"/>
        </w:tcPr>
        <w:p w14:paraId="357DAFA2" w14:textId="2C9944C1" w:rsidR="557EEEDA" w:rsidRDefault="557EEEDA" w:rsidP="557EEEDA">
          <w:pPr>
            <w:pStyle w:val="Header"/>
            <w:ind w:right="-115"/>
            <w:jc w:val="right"/>
          </w:pPr>
        </w:p>
      </w:tc>
    </w:tr>
  </w:tbl>
  <w:p w14:paraId="391EB1E8" w14:textId="6DC32939" w:rsidR="557EEEDA" w:rsidRDefault="557EEEDA" w:rsidP="557EE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64F"/>
    <w:multiLevelType w:val="hybridMultilevel"/>
    <w:tmpl w:val="7B9699BC"/>
    <w:lvl w:ilvl="0" w:tplc="1ACAFB18">
      <w:start w:val="2022"/>
      <w:numFmt w:val="bullet"/>
      <w:lvlText w:val=""/>
      <w:lvlJc w:val="left"/>
      <w:pPr>
        <w:ind w:left="720" w:hanging="360"/>
      </w:pPr>
      <w:rPr>
        <w:rFonts w:ascii="Symbol" w:eastAsiaTheme="minorHAnsi" w:hAnsi="Symbol" w:cs="Calibri-Bol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A2DD4"/>
    <w:multiLevelType w:val="hybridMultilevel"/>
    <w:tmpl w:val="93B04E88"/>
    <w:lvl w:ilvl="0" w:tplc="13C85D7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1A6638"/>
    <w:multiLevelType w:val="hybridMultilevel"/>
    <w:tmpl w:val="C9D8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E75C2"/>
    <w:multiLevelType w:val="hybridMultilevel"/>
    <w:tmpl w:val="A4EC8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406689"/>
    <w:multiLevelType w:val="hybridMultilevel"/>
    <w:tmpl w:val="A1D618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6863A48"/>
    <w:multiLevelType w:val="hybridMultilevel"/>
    <w:tmpl w:val="313C3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264064"/>
    <w:multiLevelType w:val="hybridMultilevel"/>
    <w:tmpl w:val="F5429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3779C9"/>
    <w:multiLevelType w:val="hybridMultilevel"/>
    <w:tmpl w:val="D578D7C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837274"/>
    <w:multiLevelType w:val="hybridMultilevel"/>
    <w:tmpl w:val="380C9D04"/>
    <w:lvl w:ilvl="0" w:tplc="1ACAFB18">
      <w:start w:val="2022"/>
      <w:numFmt w:val="bullet"/>
      <w:lvlText w:val=""/>
      <w:lvlJc w:val="left"/>
      <w:pPr>
        <w:ind w:left="720" w:hanging="360"/>
      </w:pPr>
      <w:rPr>
        <w:rFonts w:ascii="Symbol" w:eastAsiaTheme="minorHAnsi" w:hAnsi="Symbol" w:cs="Calibri-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C1096"/>
    <w:multiLevelType w:val="hybridMultilevel"/>
    <w:tmpl w:val="4FB09248"/>
    <w:lvl w:ilvl="0" w:tplc="EAE0235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6E03C5"/>
    <w:multiLevelType w:val="hybridMultilevel"/>
    <w:tmpl w:val="300A3C0C"/>
    <w:lvl w:ilvl="0" w:tplc="04D487D4">
      <w:start w:val="1"/>
      <w:numFmt w:val="decimal"/>
      <w:lvlText w:val="%1."/>
      <w:lvlJc w:val="left"/>
      <w:pPr>
        <w:ind w:left="1146" w:hanging="360"/>
      </w:pPr>
      <w:rPr>
        <w:rFonts w:ascii="Times New Roman" w:eastAsiaTheme="minorHAnsi" w:hAnsi="Times New Roman" w:cs="Times New Roman"/>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4231D7D"/>
    <w:multiLevelType w:val="hybridMultilevel"/>
    <w:tmpl w:val="8E4CA642"/>
    <w:lvl w:ilvl="0" w:tplc="E4B47832">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2D3BCB"/>
    <w:multiLevelType w:val="hybridMultilevel"/>
    <w:tmpl w:val="279A8F3C"/>
    <w:lvl w:ilvl="0" w:tplc="0809000F">
      <w:start w:val="1"/>
      <w:numFmt w:val="decimal"/>
      <w:lvlText w:val="%1."/>
      <w:lvlJc w:val="left"/>
      <w:pPr>
        <w:ind w:left="36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4072047"/>
    <w:multiLevelType w:val="hybridMultilevel"/>
    <w:tmpl w:val="D6B2F0F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3040CF"/>
    <w:multiLevelType w:val="hybridMultilevel"/>
    <w:tmpl w:val="150E20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D6460"/>
    <w:multiLevelType w:val="hybridMultilevel"/>
    <w:tmpl w:val="91667306"/>
    <w:lvl w:ilvl="0" w:tplc="0A141976">
      <w:start w:val="1"/>
      <w:numFmt w:val="decimal"/>
      <w:lvlText w:val="%1."/>
      <w:lvlJc w:val="left"/>
      <w:pPr>
        <w:ind w:left="1146" w:hanging="360"/>
      </w:pPr>
      <w:rPr>
        <w:rFonts w:ascii="Times New Roman" w:eastAsiaTheme="minorHAnsi" w:hAnsi="Times New Roman" w:cs="Times New Roman"/>
        <w:b w:val="0"/>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8584DAC"/>
    <w:multiLevelType w:val="hybridMultilevel"/>
    <w:tmpl w:val="FD567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210510"/>
    <w:multiLevelType w:val="hybridMultilevel"/>
    <w:tmpl w:val="CCE4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403D13"/>
    <w:multiLevelType w:val="hybridMultilevel"/>
    <w:tmpl w:val="E556C1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F596CE5"/>
    <w:multiLevelType w:val="hybridMultilevel"/>
    <w:tmpl w:val="DCBCB3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712D65"/>
    <w:multiLevelType w:val="hybridMultilevel"/>
    <w:tmpl w:val="42D431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681A62"/>
    <w:multiLevelType w:val="hybridMultilevel"/>
    <w:tmpl w:val="B14A118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310940"/>
    <w:multiLevelType w:val="hybridMultilevel"/>
    <w:tmpl w:val="476C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AF687C"/>
    <w:multiLevelType w:val="hybridMultilevel"/>
    <w:tmpl w:val="39EEDFFA"/>
    <w:lvl w:ilvl="0" w:tplc="15C476DA">
      <w:start w:val="1"/>
      <w:numFmt w:val="decimal"/>
      <w:lvlText w:val="%1."/>
      <w:lvlJc w:val="left"/>
      <w:pPr>
        <w:ind w:left="720" w:hanging="360"/>
      </w:pPr>
      <w:rPr>
        <w:rFonts w:hint="default"/>
        <w:b w:val="0"/>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692CF5"/>
    <w:multiLevelType w:val="hybridMultilevel"/>
    <w:tmpl w:val="279A8F3C"/>
    <w:lvl w:ilvl="0" w:tplc="0809000F">
      <w:start w:val="1"/>
      <w:numFmt w:val="decimal"/>
      <w:lvlText w:val="%1."/>
      <w:lvlJc w:val="left"/>
      <w:pPr>
        <w:ind w:left="36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CD84CE3"/>
    <w:multiLevelType w:val="hybridMultilevel"/>
    <w:tmpl w:val="B8CE5676"/>
    <w:lvl w:ilvl="0" w:tplc="13C85D7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284144"/>
    <w:multiLevelType w:val="hybridMultilevel"/>
    <w:tmpl w:val="1B2A61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B679F9"/>
    <w:multiLevelType w:val="hybridMultilevel"/>
    <w:tmpl w:val="A8AA1008"/>
    <w:lvl w:ilvl="0" w:tplc="08090001">
      <w:start w:val="1"/>
      <w:numFmt w:val="bullet"/>
      <w:lvlText w:val=""/>
      <w:lvlJc w:val="left"/>
      <w:pPr>
        <w:ind w:left="360" w:hanging="360"/>
      </w:pPr>
      <w:rPr>
        <w:rFonts w:ascii="Symbol" w:hAnsi="Symbol" w:hint="default"/>
      </w:rPr>
    </w:lvl>
    <w:lvl w:ilvl="1" w:tplc="51E4E862">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551269C"/>
    <w:multiLevelType w:val="hybridMultilevel"/>
    <w:tmpl w:val="D7660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5655D6"/>
    <w:multiLevelType w:val="hybridMultilevel"/>
    <w:tmpl w:val="7AC44C70"/>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BB769C"/>
    <w:multiLevelType w:val="hybridMultilevel"/>
    <w:tmpl w:val="2418309C"/>
    <w:lvl w:ilvl="0" w:tplc="1ACAFB18">
      <w:start w:val="2022"/>
      <w:numFmt w:val="bullet"/>
      <w:lvlText w:val=""/>
      <w:lvlJc w:val="left"/>
      <w:pPr>
        <w:ind w:left="360" w:hanging="360"/>
      </w:pPr>
      <w:rPr>
        <w:rFonts w:ascii="Symbol" w:eastAsiaTheme="minorHAnsi" w:hAnsi="Symbol" w:cs="Calibri-Bold"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893B56"/>
    <w:multiLevelType w:val="hybridMultilevel"/>
    <w:tmpl w:val="1886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D86EE7"/>
    <w:multiLevelType w:val="hybridMultilevel"/>
    <w:tmpl w:val="9584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1E6C70"/>
    <w:multiLevelType w:val="hybridMultilevel"/>
    <w:tmpl w:val="0B8EC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60623C"/>
    <w:multiLevelType w:val="hybridMultilevel"/>
    <w:tmpl w:val="0052BD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4EA7748"/>
    <w:multiLevelType w:val="hybridMultilevel"/>
    <w:tmpl w:val="B8B22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CD030F"/>
    <w:multiLevelType w:val="hybridMultilevel"/>
    <w:tmpl w:val="0A78FF4A"/>
    <w:lvl w:ilvl="0" w:tplc="0809000F">
      <w:start w:val="1"/>
      <w:numFmt w:val="decimal"/>
      <w:lvlText w:val="%1."/>
      <w:lvlJc w:val="left"/>
      <w:pPr>
        <w:ind w:left="36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FDD162E"/>
    <w:multiLevelType w:val="hybridMultilevel"/>
    <w:tmpl w:val="0C603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6"/>
  </w:num>
  <w:num w:numId="3">
    <w:abstractNumId w:val="19"/>
  </w:num>
  <w:num w:numId="4">
    <w:abstractNumId w:val="3"/>
  </w:num>
  <w:num w:numId="5">
    <w:abstractNumId w:val="18"/>
  </w:num>
  <w:num w:numId="6">
    <w:abstractNumId w:val="27"/>
  </w:num>
  <w:num w:numId="7">
    <w:abstractNumId w:val="35"/>
  </w:num>
  <w:num w:numId="8">
    <w:abstractNumId w:val="7"/>
  </w:num>
  <w:num w:numId="9">
    <w:abstractNumId w:val="36"/>
  </w:num>
  <w:num w:numId="10">
    <w:abstractNumId w:val="12"/>
  </w:num>
  <w:num w:numId="11">
    <w:abstractNumId w:val="11"/>
  </w:num>
  <w:num w:numId="12">
    <w:abstractNumId w:val="2"/>
  </w:num>
  <w:num w:numId="13">
    <w:abstractNumId w:val="37"/>
  </w:num>
  <w:num w:numId="14">
    <w:abstractNumId w:val="24"/>
  </w:num>
  <w:num w:numId="15">
    <w:abstractNumId w:val="32"/>
  </w:num>
  <w:num w:numId="16">
    <w:abstractNumId w:val="17"/>
  </w:num>
  <w:num w:numId="17">
    <w:abstractNumId w:val="22"/>
  </w:num>
  <w:num w:numId="18">
    <w:abstractNumId w:val="4"/>
  </w:num>
  <w:num w:numId="19">
    <w:abstractNumId w:val="20"/>
  </w:num>
  <w:num w:numId="20">
    <w:abstractNumId w:val="29"/>
  </w:num>
  <w:num w:numId="21">
    <w:abstractNumId w:val="14"/>
  </w:num>
  <w:num w:numId="22">
    <w:abstractNumId w:val="23"/>
  </w:num>
  <w:num w:numId="23">
    <w:abstractNumId w:val="15"/>
  </w:num>
  <w:num w:numId="24">
    <w:abstractNumId w:val="0"/>
  </w:num>
  <w:num w:numId="25">
    <w:abstractNumId w:val="8"/>
  </w:num>
  <w:num w:numId="26">
    <w:abstractNumId w:val="10"/>
  </w:num>
  <w:num w:numId="27">
    <w:abstractNumId w:val="31"/>
  </w:num>
  <w:num w:numId="28">
    <w:abstractNumId w:val="16"/>
  </w:num>
  <w:num w:numId="29">
    <w:abstractNumId w:val="26"/>
  </w:num>
  <w:num w:numId="30">
    <w:abstractNumId w:val="1"/>
  </w:num>
  <w:num w:numId="31">
    <w:abstractNumId w:val="25"/>
  </w:num>
  <w:num w:numId="32">
    <w:abstractNumId w:val="5"/>
  </w:num>
  <w:num w:numId="33">
    <w:abstractNumId w:val="9"/>
  </w:num>
  <w:num w:numId="34">
    <w:abstractNumId w:val="28"/>
  </w:num>
  <w:num w:numId="35">
    <w:abstractNumId w:val="33"/>
  </w:num>
  <w:num w:numId="36">
    <w:abstractNumId w:val="13"/>
  </w:num>
  <w:num w:numId="37">
    <w:abstractNumId w:val="21"/>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0"/>
  <w:activeWritingStyle w:appName="MSWord" w:lang="en-GB" w:vendorID="64" w:dllVersion="4096" w:nlCheck="1" w:checkStyle="0"/>
  <w:activeWritingStyle w:appName="MSWord" w:lang="de-AT" w:vendorID="64" w:dllVersion="4096" w:nlCheck="1" w:checkStyle="0"/>
  <w:activeWritingStyle w:appName="MSWord" w:lang="fr-BE" w:vendorID="64" w:dllVersion="4096" w:nlCheck="1" w:checkStyle="0"/>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nl-NL" w:vendorID="64" w:dllVersion="0" w:nlCheck="1" w:checkStyle="0"/>
  <w:activeWritingStyle w:appName="MSWord" w:lang="en-GB"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EyMzUwMbQwszC0NDVT0lEKTi0uzszPAykwqgUAxSa+jiwAAAA="/>
    <w:docVar w:name="LW_DocType" w:val="NORMAL"/>
  </w:docVars>
  <w:rsids>
    <w:rsidRoot w:val="00F86D83"/>
    <w:rsid w:val="00003122"/>
    <w:rsid w:val="000060A1"/>
    <w:rsid w:val="00007CE9"/>
    <w:rsid w:val="000151E5"/>
    <w:rsid w:val="0001770F"/>
    <w:rsid w:val="00017A0F"/>
    <w:rsid w:val="00054C72"/>
    <w:rsid w:val="00055BB0"/>
    <w:rsid w:val="00056343"/>
    <w:rsid w:val="00081814"/>
    <w:rsid w:val="00084C41"/>
    <w:rsid w:val="000939BD"/>
    <w:rsid w:val="000A09D9"/>
    <w:rsid w:val="000A526D"/>
    <w:rsid w:val="000A7925"/>
    <w:rsid w:val="000B6CD1"/>
    <w:rsid w:val="000D58AA"/>
    <w:rsid w:val="001336BB"/>
    <w:rsid w:val="00142D6C"/>
    <w:rsid w:val="001430C9"/>
    <w:rsid w:val="00147B2B"/>
    <w:rsid w:val="00152772"/>
    <w:rsid w:val="0015416E"/>
    <w:rsid w:val="001712B8"/>
    <w:rsid w:val="00176FD6"/>
    <w:rsid w:val="001806A1"/>
    <w:rsid w:val="001A121C"/>
    <w:rsid w:val="001A2EE3"/>
    <w:rsid w:val="001B6694"/>
    <w:rsid w:val="001E6C47"/>
    <w:rsid w:val="001E702A"/>
    <w:rsid w:val="001F3B5A"/>
    <w:rsid w:val="001F6F97"/>
    <w:rsid w:val="001F7DBE"/>
    <w:rsid w:val="00202A0C"/>
    <w:rsid w:val="00205C1A"/>
    <w:rsid w:val="002144B2"/>
    <w:rsid w:val="002206E1"/>
    <w:rsid w:val="002342F9"/>
    <w:rsid w:val="0023569C"/>
    <w:rsid w:val="002416D5"/>
    <w:rsid w:val="00241B30"/>
    <w:rsid w:val="002604B3"/>
    <w:rsid w:val="002640DA"/>
    <w:rsid w:val="0027528B"/>
    <w:rsid w:val="0027610E"/>
    <w:rsid w:val="00284307"/>
    <w:rsid w:val="00295357"/>
    <w:rsid w:val="002A392A"/>
    <w:rsid w:val="002C678A"/>
    <w:rsid w:val="002D2450"/>
    <w:rsid w:val="002D608D"/>
    <w:rsid w:val="00310108"/>
    <w:rsid w:val="003125CE"/>
    <w:rsid w:val="0032666A"/>
    <w:rsid w:val="00333038"/>
    <w:rsid w:val="003374AB"/>
    <w:rsid w:val="003522D7"/>
    <w:rsid w:val="003603D3"/>
    <w:rsid w:val="00366E63"/>
    <w:rsid w:val="00375638"/>
    <w:rsid w:val="00382FB7"/>
    <w:rsid w:val="003B6706"/>
    <w:rsid w:val="003F3DDE"/>
    <w:rsid w:val="00412226"/>
    <w:rsid w:val="00414224"/>
    <w:rsid w:val="00417B36"/>
    <w:rsid w:val="00423320"/>
    <w:rsid w:val="0042744E"/>
    <w:rsid w:val="00443B45"/>
    <w:rsid w:val="00466C7A"/>
    <w:rsid w:val="00474EAD"/>
    <w:rsid w:val="004845F5"/>
    <w:rsid w:val="004924B5"/>
    <w:rsid w:val="00496B0D"/>
    <w:rsid w:val="00497CC8"/>
    <w:rsid w:val="004A5FBD"/>
    <w:rsid w:val="004B1053"/>
    <w:rsid w:val="004B7F26"/>
    <w:rsid w:val="004D0BB0"/>
    <w:rsid w:val="004D78AD"/>
    <w:rsid w:val="004D7EDF"/>
    <w:rsid w:val="004E0453"/>
    <w:rsid w:val="00505572"/>
    <w:rsid w:val="00506EF9"/>
    <w:rsid w:val="0051770A"/>
    <w:rsid w:val="005227A7"/>
    <w:rsid w:val="0053229F"/>
    <w:rsid w:val="00533AFD"/>
    <w:rsid w:val="0055413C"/>
    <w:rsid w:val="00560262"/>
    <w:rsid w:val="005728ED"/>
    <w:rsid w:val="005A5A6B"/>
    <w:rsid w:val="005A70C9"/>
    <w:rsid w:val="005B0909"/>
    <w:rsid w:val="005B1E22"/>
    <w:rsid w:val="005B79EB"/>
    <w:rsid w:val="005D155B"/>
    <w:rsid w:val="005D3880"/>
    <w:rsid w:val="005E453F"/>
    <w:rsid w:val="005E4F37"/>
    <w:rsid w:val="005F7443"/>
    <w:rsid w:val="00610D16"/>
    <w:rsid w:val="0061573E"/>
    <w:rsid w:val="00631AB0"/>
    <w:rsid w:val="00647F32"/>
    <w:rsid w:val="006621C1"/>
    <w:rsid w:val="0067502A"/>
    <w:rsid w:val="0067722F"/>
    <w:rsid w:val="00681179"/>
    <w:rsid w:val="00686E62"/>
    <w:rsid w:val="006A21C9"/>
    <w:rsid w:val="006C5C08"/>
    <w:rsid w:val="006F5E8B"/>
    <w:rsid w:val="006F6102"/>
    <w:rsid w:val="00725CAA"/>
    <w:rsid w:val="00741B2E"/>
    <w:rsid w:val="00754882"/>
    <w:rsid w:val="00757281"/>
    <w:rsid w:val="00760F7C"/>
    <w:rsid w:val="0076177D"/>
    <w:rsid w:val="007708E7"/>
    <w:rsid w:val="007866DF"/>
    <w:rsid w:val="0078733B"/>
    <w:rsid w:val="007A1B12"/>
    <w:rsid w:val="007B251C"/>
    <w:rsid w:val="007B7952"/>
    <w:rsid w:val="007D71B8"/>
    <w:rsid w:val="007E00AC"/>
    <w:rsid w:val="007E1A37"/>
    <w:rsid w:val="007F0CC4"/>
    <w:rsid w:val="007F5463"/>
    <w:rsid w:val="00814D9D"/>
    <w:rsid w:val="00820416"/>
    <w:rsid w:val="0083032C"/>
    <w:rsid w:val="008412BC"/>
    <w:rsid w:val="00843F26"/>
    <w:rsid w:val="00845C87"/>
    <w:rsid w:val="0085551E"/>
    <w:rsid w:val="00857232"/>
    <w:rsid w:val="0086065E"/>
    <w:rsid w:val="00861C3E"/>
    <w:rsid w:val="008672F2"/>
    <w:rsid w:val="00876F06"/>
    <w:rsid w:val="0088143E"/>
    <w:rsid w:val="008868A3"/>
    <w:rsid w:val="008A34B0"/>
    <w:rsid w:val="008B0DA7"/>
    <w:rsid w:val="008B2ADB"/>
    <w:rsid w:val="008B505E"/>
    <w:rsid w:val="008D4A9A"/>
    <w:rsid w:val="008E3C7C"/>
    <w:rsid w:val="008E48FD"/>
    <w:rsid w:val="009042CE"/>
    <w:rsid w:val="00915923"/>
    <w:rsid w:val="009162A0"/>
    <w:rsid w:val="00931630"/>
    <w:rsid w:val="00934E83"/>
    <w:rsid w:val="00951438"/>
    <w:rsid w:val="00966019"/>
    <w:rsid w:val="009753DB"/>
    <w:rsid w:val="0099020C"/>
    <w:rsid w:val="009A3BE5"/>
    <w:rsid w:val="009B2F01"/>
    <w:rsid w:val="009E708D"/>
    <w:rsid w:val="009F100E"/>
    <w:rsid w:val="009F1407"/>
    <w:rsid w:val="00A1326A"/>
    <w:rsid w:val="00A261C0"/>
    <w:rsid w:val="00A447B7"/>
    <w:rsid w:val="00A76090"/>
    <w:rsid w:val="00AA0FB4"/>
    <w:rsid w:val="00AD2C6C"/>
    <w:rsid w:val="00AD2D62"/>
    <w:rsid w:val="00AE0AE3"/>
    <w:rsid w:val="00AE5662"/>
    <w:rsid w:val="00AF0582"/>
    <w:rsid w:val="00B03CB9"/>
    <w:rsid w:val="00B36C19"/>
    <w:rsid w:val="00B43F14"/>
    <w:rsid w:val="00B44E90"/>
    <w:rsid w:val="00B5244E"/>
    <w:rsid w:val="00B60566"/>
    <w:rsid w:val="00B60F3E"/>
    <w:rsid w:val="00B825F5"/>
    <w:rsid w:val="00B9420A"/>
    <w:rsid w:val="00BA6ABD"/>
    <w:rsid w:val="00BD6D18"/>
    <w:rsid w:val="00BF50F3"/>
    <w:rsid w:val="00C00A74"/>
    <w:rsid w:val="00C14B19"/>
    <w:rsid w:val="00C20E2A"/>
    <w:rsid w:val="00C23C6A"/>
    <w:rsid w:val="00C312CF"/>
    <w:rsid w:val="00C4654F"/>
    <w:rsid w:val="00C476DE"/>
    <w:rsid w:val="00C517D6"/>
    <w:rsid w:val="00C61B1C"/>
    <w:rsid w:val="00C6206F"/>
    <w:rsid w:val="00C6740D"/>
    <w:rsid w:val="00C71225"/>
    <w:rsid w:val="00C71DCF"/>
    <w:rsid w:val="00C7307E"/>
    <w:rsid w:val="00C74A30"/>
    <w:rsid w:val="00C84233"/>
    <w:rsid w:val="00CA062D"/>
    <w:rsid w:val="00CA2C5C"/>
    <w:rsid w:val="00CB7134"/>
    <w:rsid w:val="00CC6E76"/>
    <w:rsid w:val="00CD21F3"/>
    <w:rsid w:val="00CE5A92"/>
    <w:rsid w:val="00D02E95"/>
    <w:rsid w:val="00D1114B"/>
    <w:rsid w:val="00D508EF"/>
    <w:rsid w:val="00D64737"/>
    <w:rsid w:val="00DA0678"/>
    <w:rsid w:val="00DA14B2"/>
    <w:rsid w:val="00DA44E9"/>
    <w:rsid w:val="00DD3B00"/>
    <w:rsid w:val="00E145AF"/>
    <w:rsid w:val="00E309C3"/>
    <w:rsid w:val="00E33AF2"/>
    <w:rsid w:val="00E35957"/>
    <w:rsid w:val="00E44294"/>
    <w:rsid w:val="00E50EFD"/>
    <w:rsid w:val="00E51385"/>
    <w:rsid w:val="00E558C5"/>
    <w:rsid w:val="00E61CB1"/>
    <w:rsid w:val="00E64DBC"/>
    <w:rsid w:val="00E653EA"/>
    <w:rsid w:val="00E663D1"/>
    <w:rsid w:val="00E80673"/>
    <w:rsid w:val="00E91242"/>
    <w:rsid w:val="00E9732E"/>
    <w:rsid w:val="00EA2145"/>
    <w:rsid w:val="00EA5F71"/>
    <w:rsid w:val="00EB1E2C"/>
    <w:rsid w:val="00EC0EDE"/>
    <w:rsid w:val="00ED3830"/>
    <w:rsid w:val="00EF282D"/>
    <w:rsid w:val="00F07E0B"/>
    <w:rsid w:val="00F11C12"/>
    <w:rsid w:val="00F1547E"/>
    <w:rsid w:val="00F307F3"/>
    <w:rsid w:val="00F36CD1"/>
    <w:rsid w:val="00F37A9F"/>
    <w:rsid w:val="00F5292D"/>
    <w:rsid w:val="00F72F19"/>
    <w:rsid w:val="00F7408D"/>
    <w:rsid w:val="00F815FF"/>
    <w:rsid w:val="00F86D83"/>
    <w:rsid w:val="00F93EC2"/>
    <w:rsid w:val="00FC0542"/>
    <w:rsid w:val="00FC2E75"/>
    <w:rsid w:val="00FD5B44"/>
    <w:rsid w:val="00FD77C4"/>
    <w:rsid w:val="00FE28CA"/>
    <w:rsid w:val="00FE2B13"/>
    <w:rsid w:val="00FE6352"/>
    <w:rsid w:val="00FF6A23"/>
    <w:rsid w:val="33BB2C08"/>
    <w:rsid w:val="557EEEDA"/>
  </w:rsids>
  <m:mathPr>
    <m:mathFont m:val="Cambria Math"/>
    <m:brkBin m:val="before"/>
    <m:brkBinSub m:val="--"/>
    <m:smallFrac m:val="0"/>
    <m:dispDef/>
    <m:lMargin m:val="0"/>
    <m:rMargin m:val="0"/>
    <m:defJc m:val="centerGroup"/>
    <m:wrapIndent m:val="1440"/>
    <m:intLim m:val="subSup"/>
    <m:naryLim m:val="undOvr"/>
  </m:mathPr>
  <w:themeFontLang w:val="en-GB"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547E"/>
  <w15:chartTrackingRefBased/>
  <w15:docId w15:val="{9513016A-9D85-488E-A4DF-B51CDEC5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51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Paragraphe de liste1,Normal bullet 2,Bullet List,Graph &amp; Table tite,Listaszerű bekezdés1,List Paragraph à moi,Colorful List - Accent 11,Medium Grid 1 - Accent 21,Listaszeru bekezdés1,Colorful List - Accent 111,Dot pt,FooterText,L"/>
    <w:basedOn w:val="Normal"/>
    <w:link w:val="ListParagraphChar"/>
    <w:uiPriority w:val="34"/>
    <w:qFormat/>
    <w:rsid w:val="0085551E"/>
    <w:pPr>
      <w:ind w:left="720"/>
    </w:pPr>
  </w:style>
  <w:style w:type="paragraph" w:styleId="Header">
    <w:name w:val="header"/>
    <w:basedOn w:val="Normal"/>
    <w:link w:val="HeaderChar"/>
    <w:uiPriority w:val="99"/>
    <w:unhideWhenUsed/>
    <w:rsid w:val="00D1114B"/>
    <w:pPr>
      <w:tabs>
        <w:tab w:val="center" w:pos="4513"/>
        <w:tab w:val="right" w:pos="9026"/>
      </w:tabs>
    </w:pPr>
  </w:style>
  <w:style w:type="character" w:customStyle="1" w:styleId="HeaderChar">
    <w:name w:val="Header Char"/>
    <w:basedOn w:val="DefaultParagraphFont"/>
    <w:link w:val="Header"/>
    <w:uiPriority w:val="99"/>
    <w:rsid w:val="00D1114B"/>
    <w:rPr>
      <w:rFonts w:ascii="Calibri" w:hAnsi="Calibri" w:cs="Calibri"/>
    </w:rPr>
  </w:style>
  <w:style w:type="paragraph" w:styleId="Footer">
    <w:name w:val="footer"/>
    <w:basedOn w:val="Normal"/>
    <w:link w:val="FooterChar"/>
    <w:uiPriority w:val="99"/>
    <w:unhideWhenUsed/>
    <w:rsid w:val="00D1114B"/>
    <w:pPr>
      <w:tabs>
        <w:tab w:val="center" w:pos="4513"/>
        <w:tab w:val="right" w:pos="9026"/>
      </w:tabs>
    </w:pPr>
  </w:style>
  <w:style w:type="character" w:customStyle="1" w:styleId="FooterChar">
    <w:name w:val="Footer Char"/>
    <w:basedOn w:val="DefaultParagraphFont"/>
    <w:link w:val="Footer"/>
    <w:uiPriority w:val="99"/>
    <w:rsid w:val="00D1114B"/>
    <w:rPr>
      <w:rFonts w:ascii="Calibri" w:hAnsi="Calibri" w:cs="Calibri"/>
    </w:rPr>
  </w:style>
  <w:style w:type="character" w:styleId="CommentReference">
    <w:name w:val="annotation reference"/>
    <w:basedOn w:val="DefaultParagraphFont"/>
    <w:uiPriority w:val="99"/>
    <w:semiHidden/>
    <w:unhideWhenUsed/>
    <w:rsid w:val="00FD5B44"/>
    <w:rPr>
      <w:sz w:val="16"/>
      <w:szCs w:val="16"/>
    </w:rPr>
  </w:style>
  <w:style w:type="paragraph" w:styleId="CommentText">
    <w:name w:val="annotation text"/>
    <w:basedOn w:val="Normal"/>
    <w:link w:val="CommentTextChar"/>
    <w:uiPriority w:val="99"/>
    <w:semiHidden/>
    <w:unhideWhenUsed/>
    <w:rsid w:val="00FD5B44"/>
    <w:rPr>
      <w:sz w:val="20"/>
      <w:szCs w:val="20"/>
    </w:rPr>
  </w:style>
  <w:style w:type="character" w:customStyle="1" w:styleId="CommentTextChar">
    <w:name w:val="Comment Text Char"/>
    <w:basedOn w:val="DefaultParagraphFont"/>
    <w:link w:val="CommentText"/>
    <w:uiPriority w:val="99"/>
    <w:semiHidden/>
    <w:rsid w:val="00FD5B4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D5B44"/>
    <w:rPr>
      <w:b/>
      <w:bCs/>
    </w:rPr>
  </w:style>
  <w:style w:type="character" w:customStyle="1" w:styleId="CommentSubjectChar">
    <w:name w:val="Comment Subject Char"/>
    <w:basedOn w:val="CommentTextChar"/>
    <w:link w:val="CommentSubject"/>
    <w:uiPriority w:val="99"/>
    <w:semiHidden/>
    <w:rsid w:val="00FD5B44"/>
    <w:rPr>
      <w:rFonts w:ascii="Calibri" w:hAnsi="Calibri" w:cs="Calibri"/>
      <w:b/>
      <w:bCs/>
      <w:sz w:val="20"/>
      <w:szCs w:val="20"/>
    </w:rPr>
  </w:style>
  <w:style w:type="paragraph" w:styleId="BalloonText">
    <w:name w:val="Balloon Text"/>
    <w:basedOn w:val="Normal"/>
    <w:link w:val="BalloonTextChar"/>
    <w:uiPriority w:val="99"/>
    <w:semiHidden/>
    <w:unhideWhenUsed/>
    <w:rsid w:val="00FD5B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B44"/>
    <w:rPr>
      <w:rFonts w:ascii="Segoe UI" w:hAnsi="Segoe UI" w:cs="Segoe UI"/>
      <w:sz w:val="18"/>
      <w:szCs w:val="18"/>
    </w:rPr>
  </w:style>
  <w:style w:type="paragraph" w:styleId="FootnoteText">
    <w:name w:val="footnote text"/>
    <w:basedOn w:val="Normal"/>
    <w:link w:val="FootnoteTextChar"/>
    <w:semiHidden/>
    <w:unhideWhenUsed/>
    <w:rsid w:val="00147B2B"/>
    <w:rPr>
      <w:sz w:val="20"/>
      <w:szCs w:val="20"/>
    </w:rPr>
  </w:style>
  <w:style w:type="character" w:customStyle="1" w:styleId="FootnoteTextChar">
    <w:name w:val="Footnote Text Char"/>
    <w:basedOn w:val="DefaultParagraphFont"/>
    <w:link w:val="FootnoteText"/>
    <w:semiHidden/>
    <w:rsid w:val="00147B2B"/>
    <w:rPr>
      <w:rFonts w:ascii="Calibri" w:hAnsi="Calibri" w:cs="Calibri"/>
      <w:sz w:val="20"/>
      <w:szCs w:val="20"/>
    </w:rPr>
  </w:style>
  <w:style w:type="character" w:styleId="FootnoteReference">
    <w:name w:val="footnote reference"/>
    <w:basedOn w:val="DefaultParagraphFont"/>
    <w:semiHidden/>
    <w:unhideWhenUsed/>
    <w:rsid w:val="00147B2B"/>
    <w:rPr>
      <w:vertAlign w:val="superscript"/>
    </w:rPr>
  </w:style>
  <w:style w:type="character" w:styleId="Hyperlink">
    <w:name w:val="Hyperlink"/>
    <w:basedOn w:val="DefaultParagraphFont"/>
    <w:uiPriority w:val="99"/>
    <w:unhideWhenUsed/>
    <w:rsid w:val="00147B2B"/>
    <w:rPr>
      <w:color w:val="0563C1" w:themeColor="hyperlink"/>
      <w:u w:val="single"/>
    </w:rPr>
  </w:style>
  <w:style w:type="paragraph" w:customStyle="1" w:styleId="Body">
    <w:name w:val="Body"/>
    <w:rsid w:val="00295357"/>
    <w:pPr>
      <w:spacing w:line="256" w:lineRule="auto"/>
    </w:pPr>
    <w:rPr>
      <w:rFonts w:ascii="Calibri" w:eastAsia="Calibri" w:hAnsi="Calibri" w:cs="Calibri"/>
      <w:color w:val="000000"/>
      <w:u w:color="000000"/>
      <w:lang w:eastAsia="en-GB"/>
    </w:rPr>
  </w:style>
  <w:style w:type="character" w:customStyle="1" w:styleId="ListParagraphChar">
    <w:name w:val="List Paragraph Char"/>
    <w:aliases w:val="Bullets Char,Paragraphe de liste1 Char,Normal bullet 2 Char,Bullet List Char,Graph &amp; Table tite Char,Listaszerű bekezdés1 Char,List Paragraph à moi Char,Colorful List - Accent 11 Char,Medium Grid 1 - Accent 21 Char,Dot pt Char,L Char"/>
    <w:basedOn w:val="DefaultParagraphFont"/>
    <w:link w:val="ListParagraph"/>
    <w:uiPriority w:val="34"/>
    <w:locked/>
    <w:rsid w:val="0061573E"/>
    <w:rPr>
      <w:rFonts w:ascii="Calibri" w:hAnsi="Calibri" w:cs="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uiPriority w:val="22"/>
    <w:qFormat/>
    <w:rsid w:val="002843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7302">
      <w:bodyDiv w:val="1"/>
      <w:marLeft w:val="0"/>
      <w:marRight w:val="0"/>
      <w:marTop w:val="0"/>
      <w:marBottom w:val="0"/>
      <w:divBdr>
        <w:top w:val="none" w:sz="0" w:space="0" w:color="auto"/>
        <w:left w:val="none" w:sz="0" w:space="0" w:color="auto"/>
        <w:bottom w:val="none" w:sz="0" w:space="0" w:color="auto"/>
        <w:right w:val="none" w:sz="0" w:space="0" w:color="auto"/>
      </w:divBdr>
    </w:div>
    <w:div w:id="274095504">
      <w:bodyDiv w:val="1"/>
      <w:marLeft w:val="0"/>
      <w:marRight w:val="0"/>
      <w:marTop w:val="0"/>
      <w:marBottom w:val="0"/>
      <w:divBdr>
        <w:top w:val="none" w:sz="0" w:space="0" w:color="auto"/>
        <w:left w:val="none" w:sz="0" w:space="0" w:color="auto"/>
        <w:bottom w:val="none" w:sz="0" w:space="0" w:color="auto"/>
        <w:right w:val="none" w:sz="0" w:space="0" w:color="auto"/>
      </w:divBdr>
    </w:div>
    <w:div w:id="317616545">
      <w:bodyDiv w:val="1"/>
      <w:marLeft w:val="0"/>
      <w:marRight w:val="0"/>
      <w:marTop w:val="0"/>
      <w:marBottom w:val="0"/>
      <w:divBdr>
        <w:top w:val="none" w:sz="0" w:space="0" w:color="auto"/>
        <w:left w:val="none" w:sz="0" w:space="0" w:color="auto"/>
        <w:bottom w:val="none" w:sz="0" w:space="0" w:color="auto"/>
        <w:right w:val="none" w:sz="0" w:space="0" w:color="auto"/>
      </w:divBdr>
    </w:div>
    <w:div w:id="595989135">
      <w:bodyDiv w:val="1"/>
      <w:marLeft w:val="0"/>
      <w:marRight w:val="0"/>
      <w:marTop w:val="0"/>
      <w:marBottom w:val="0"/>
      <w:divBdr>
        <w:top w:val="none" w:sz="0" w:space="0" w:color="auto"/>
        <w:left w:val="none" w:sz="0" w:space="0" w:color="auto"/>
        <w:bottom w:val="none" w:sz="0" w:space="0" w:color="auto"/>
        <w:right w:val="none" w:sz="0" w:space="0" w:color="auto"/>
      </w:divBdr>
    </w:div>
    <w:div w:id="717705301">
      <w:bodyDiv w:val="1"/>
      <w:marLeft w:val="0"/>
      <w:marRight w:val="0"/>
      <w:marTop w:val="0"/>
      <w:marBottom w:val="0"/>
      <w:divBdr>
        <w:top w:val="none" w:sz="0" w:space="0" w:color="auto"/>
        <w:left w:val="none" w:sz="0" w:space="0" w:color="auto"/>
        <w:bottom w:val="none" w:sz="0" w:space="0" w:color="auto"/>
        <w:right w:val="none" w:sz="0" w:space="0" w:color="auto"/>
      </w:divBdr>
    </w:div>
    <w:div w:id="852691742">
      <w:bodyDiv w:val="1"/>
      <w:marLeft w:val="0"/>
      <w:marRight w:val="0"/>
      <w:marTop w:val="0"/>
      <w:marBottom w:val="0"/>
      <w:divBdr>
        <w:top w:val="none" w:sz="0" w:space="0" w:color="auto"/>
        <w:left w:val="none" w:sz="0" w:space="0" w:color="auto"/>
        <w:bottom w:val="none" w:sz="0" w:space="0" w:color="auto"/>
        <w:right w:val="none" w:sz="0" w:space="0" w:color="auto"/>
      </w:divBdr>
    </w:div>
    <w:div w:id="1307853129">
      <w:bodyDiv w:val="1"/>
      <w:marLeft w:val="0"/>
      <w:marRight w:val="0"/>
      <w:marTop w:val="0"/>
      <w:marBottom w:val="0"/>
      <w:divBdr>
        <w:top w:val="none" w:sz="0" w:space="0" w:color="auto"/>
        <w:left w:val="none" w:sz="0" w:space="0" w:color="auto"/>
        <w:bottom w:val="none" w:sz="0" w:space="0" w:color="auto"/>
        <w:right w:val="none" w:sz="0" w:space="0" w:color="auto"/>
      </w:divBdr>
    </w:div>
    <w:div w:id="1705059588">
      <w:bodyDiv w:val="1"/>
      <w:marLeft w:val="0"/>
      <w:marRight w:val="0"/>
      <w:marTop w:val="0"/>
      <w:marBottom w:val="0"/>
      <w:divBdr>
        <w:top w:val="none" w:sz="0" w:space="0" w:color="auto"/>
        <w:left w:val="none" w:sz="0" w:space="0" w:color="auto"/>
        <w:bottom w:val="none" w:sz="0" w:space="0" w:color="auto"/>
        <w:right w:val="none" w:sz="0" w:space="0" w:color="auto"/>
      </w:divBdr>
    </w:div>
    <w:div w:id="201680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EE26E-D279-4FAD-B0B2-6CD52A890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KROLAK Natalia (EEAS-GENEVA)</dc:creator>
  <cp:keywords/>
  <dc:description/>
  <cp:lastModifiedBy>MALDONADO TORRES Yolanda (EEAS)</cp:lastModifiedBy>
  <cp:revision>28</cp:revision>
  <dcterms:created xsi:type="dcterms:W3CDTF">2024-02-21T08:02:00Z</dcterms:created>
  <dcterms:modified xsi:type="dcterms:W3CDTF">2025-02-26T07:43:00Z</dcterms:modified>
</cp:coreProperties>
</file>